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Ex1.xml" ContentType="application/vnd.ms-office.chartex+xml"/>
  <Override PartName="/word/charts/style3.xml" ContentType="application/vnd.ms-office.chartstyle+xml"/>
  <Override PartName="/word/charts/colors3.xml" ContentType="application/vnd.ms-office.chartcolorstyle+xml"/>
  <Override PartName="/word/charts/chartEx2.xml" ContentType="application/vnd.ms-office.chartex+xml"/>
  <Override PartName="/word/charts/style4.xml" ContentType="application/vnd.ms-office.chartstyle+xml"/>
  <Override PartName="/word/charts/colors4.xml" ContentType="application/vnd.ms-office.chartcolorstyle+xml"/>
  <Override PartName="/word/charts/chartEx3.xml" ContentType="application/vnd.ms-office.chartex+xml"/>
  <Override PartName="/word/charts/style5.xml" ContentType="application/vnd.ms-office.chartstyle+xml"/>
  <Override PartName="/word/charts/colors5.xml" ContentType="application/vnd.ms-office.chartcolorstyle+xml"/>
  <Override PartName="/word/charts/chart3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4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5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6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7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8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9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0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78BEC" w14:textId="77777777" w:rsidR="00AF5828" w:rsidRDefault="00AF5828" w:rsidP="00AF5828">
      <w:pPr>
        <w:jc w:val="center"/>
        <w:rPr>
          <w:rFonts w:cstheme="minorHAnsi"/>
        </w:rPr>
      </w:pPr>
    </w:p>
    <w:p w14:paraId="55AFA9C2" w14:textId="77777777" w:rsidR="00AF5828" w:rsidRPr="00FB11A6" w:rsidRDefault="00AF5828" w:rsidP="00AF5828">
      <w:pPr>
        <w:jc w:val="center"/>
        <w:rPr>
          <w:rFonts w:cstheme="minorHAnsi"/>
        </w:rPr>
      </w:pPr>
      <w:r w:rsidRPr="00FB11A6">
        <w:rPr>
          <w:rFonts w:cstheme="minorHAnsi"/>
        </w:rPr>
        <w:t>Závěrečná zpráva o realizaci projektu</w:t>
      </w:r>
    </w:p>
    <w:p w14:paraId="4F106D30" w14:textId="7267877F" w:rsidR="00AF5828" w:rsidRDefault="00034466" w:rsidP="00AF5828">
      <w:pPr>
        <w:jc w:val="center"/>
        <w:rPr>
          <w:rFonts w:eastAsia="Times New Roman" w:cstheme="minorHAnsi"/>
          <w:b/>
          <w:bCs/>
          <w:color w:val="000000"/>
        </w:rPr>
      </w:pPr>
      <w:r>
        <w:rPr>
          <w:b/>
          <w:bCs/>
        </w:rPr>
        <w:t>Průzkum mezi spotřebiteli k nástrojům udržitelného financování</w:t>
      </w:r>
      <w:r>
        <w:rPr>
          <w:b/>
        </w:rPr>
        <w:t xml:space="preserve"> –</w:t>
      </w:r>
      <w:r w:rsidR="00AF5828">
        <w:rPr>
          <w:b/>
        </w:rPr>
        <w:t xml:space="preserve"> 202</w:t>
      </w:r>
      <w:r>
        <w:rPr>
          <w:b/>
        </w:rPr>
        <w:t>1</w:t>
      </w:r>
    </w:p>
    <w:p w14:paraId="4439B1FD" w14:textId="77777777" w:rsidR="00AF5828" w:rsidRDefault="00AF5828" w:rsidP="00AF5828">
      <w:pPr>
        <w:rPr>
          <w:rFonts w:cstheme="minorHAnsi"/>
        </w:rPr>
      </w:pPr>
    </w:p>
    <w:p w14:paraId="746E11CC" w14:textId="77777777" w:rsidR="00AF5828" w:rsidRPr="008106D3" w:rsidRDefault="00AF5828" w:rsidP="00AF5828">
      <w:pPr>
        <w:rPr>
          <w:rFonts w:cstheme="minorHAnsi"/>
          <w:u w:val="single"/>
        </w:rPr>
      </w:pPr>
      <w:r w:rsidRPr="008106D3">
        <w:rPr>
          <w:rFonts w:cstheme="minorHAnsi"/>
          <w:u w:val="single"/>
        </w:rPr>
        <w:t>Realizace projektu</w:t>
      </w:r>
    </w:p>
    <w:p w14:paraId="1A9435EE" w14:textId="166F940E" w:rsidR="005A530F" w:rsidRDefault="00AF5828" w:rsidP="00AF5828">
      <w:pPr>
        <w:jc w:val="both"/>
        <w:rPr>
          <w:rFonts w:cstheme="minorHAnsi"/>
        </w:rPr>
      </w:pPr>
      <w:r>
        <w:rPr>
          <w:rFonts w:cstheme="minorHAnsi"/>
        </w:rPr>
        <w:t xml:space="preserve">Sdružení českých spotřebitelů, z.ú. (SČS) </w:t>
      </w:r>
      <w:r w:rsidR="005A530F">
        <w:rPr>
          <w:rFonts w:cstheme="minorHAnsi"/>
        </w:rPr>
        <w:t xml:space="preserve">ve spolupráci s agenturou Kantar </w:t>
      </w:r>
      <w:r w:rsidR="00F731F9">
        <w:rPr>
          <w:rFonts w:cstheme="minorHAnsi"/>
        </w:rPr>
        <w:t xml:space="preserve">realizovalo </w:t>
      </w:r>
      <w:r w:rsidR="009742B3">
        <w:rPr>
          <w:rFonts w:cstheme="minorHAnsi"/>
        </w:rPr>
        <w:t>průzkum</w:t>
      </w:r>
      <w:r w:rsidR="00F731F9">
        <w:rPr>
          <w:rFonts w:cstheme="minorHAnsi"/>
        </w:rPr>
        <w:t xml:space="preserve"> veřejného mínění</w:t>
      </w:r>
      <w:r w:rsidR="00B070A1">
        <w:rPr>
          <w:rFonts w:cstheme="minorHAnsi"/>
        </w:rPr>
        <w:t xml:space="preserve">, který se </w:t>
      </w:r>
      <w:r w:rsidR="00E83B4E">
        <w:rPr>
          <w:rFonts w:cstheme="minorHAnsi"/>
        </w:rPr>
        <w:t>zaměř</w:t>
      </w:r>
      <w:r w:rsidR="00B070A1">
        <w:rPr>
          <w:rFonts w:cstheme="minorHAnsi"/>
        </w:rPr>
        <w:t xml:space="preserve">il na </w:t>
      </w:r>
      <w:r w:rsidR="001C07C2" w:rsidRPr="001C07C2">
        <w:rPr>
          <w:rFonts w:cstheme="minorHAnsi"/>
        </w:rPr>
        <w:t xml:space="preserve">preference, </w:t>
      </w:r>
      <w:r w:rsidR="00B21E8C">
        <w:rPr>
          <w:rFonts w:cstheme="minorHAnsi"/>
        </w:rPr>
        <w:t>postoje</w:t>
      </w:r>
      <w:r w:rsidR="001C07C2" w:rsidRPr="001C07C2">
        <w:rPr>
          <w:rFonts w:cstheme="minorHAnsi"/>
        </w:rPr>
        <w:t xml:space="preserve"> a zájmy </w:t>
      </w:r>
      <w:r w:rsidR="00AF1CAF">
        <w:rPr>
          <w:rFonts w:cstheme="minorHAnsi"/>
        </w:rPr>
        <w:t xml:space="preserve">českých spotřebitelů </w:t>
      </w:r>
      <w:r w:rsidR="001C07C2" w:rsidRPr="001C07C2">
        <w:rPr>
          <w:rFonts w:cstheme="minorHAnsi"/>
        </w:rPr>
        <w:t>týkající se udržitelnosti finančních produktů</w:t>
      </w:r>
      <w:r w:rsidR="00AF1CAF">
        <w:rPr>
          <w:rFonts w:cstheme="minorHAnsi"/>
        </w:rPr>
        <w:t>.</w:t>
      </w:r>
    </w:p>
    <w:p w14:paraId="3DADA59D" w14:textId="0CF5F9D9" w:rsidR="00AF5828" w:rsidRDefault="00FE707F" w:rsidP="00AF5828">
      <w:pPr>
        <w:jc w:val="both"/>
        <w:rPr>
          <w:rFonts w:cstheme="minorHAnsi"/>
        </w:rPr>
      </w:pPr>
      <w:r>
        <w:t xml:space="preserve">Průzkum probíhal </w:t>
      </w:r>
      <w:r w:rsidR="00ED6EBE">
        <w:t xml:space="preserve">online </w:t>
      </w:r>
      <w:r>
        <w:t xml:space="preserve">v celkem 7 </w:t>
      </w:r>
      <w:r w:rsidR="009742B3">
        <w:t>evropských</w:t>
      </w:r>
      <w:r>
        <w:t xml:space="preserve"> zemích </w:t>
      </w:r>
      <w:r w:rsidR="00CD756B">
        <w:t>(kromě ČR v Řecku, Německu, Estonsku, Irsku, Rumunsku a Dánsku</w:t>
      </w:r>
      <w:r w:rsidR="006C373A">
        <w:t xml:space="preserve">) </w:t>
      </w:r>
      <w:r>
        <w:t xml:space="preserve">a v ČR se jej </w:t>
      </w:r>
      <w:r w:rsidR="009742B3">
        <w:t xml:space="preserve">zúčastnilo </w:t>
      </w:r>
      <w:r w:rsidR="009742B3" w:rsidRPr="009742B3">
        <w:rPr>
          <w:b/>
          <w:bCs/>
        </w:rPr>
        <w:t>1.000 respondentů</w:t>
      </w:r>
      <w:r w:rsidR="00E74A90" w:rsidRPr="00247E68">
        <w:rPr>
          <w:b/>
          <w:bCs/>
        </w:rPr>
        <w:t xml:space="preserve">, </w:t>
      </w:r>
      <w:r w:rsidR="0096438C" w:rsidRPr="00247E68">
        <w:rPr>
          <w:b/>
          <w:bCs/>
        </w:rPr>
        <w:t>jejichž domácnost spoří alespoň 500 Kč měsíčně</w:t>
      </w:r>
      <w:r w:rsidR="00EC3A6E">
        <w:t xml:space="preserve">. </w:t>
      </w:r>
      <w:r w:rsidR="00EC3A6E" w:rsidRPr="000B0B47">
        <w:rPr>
          <w:b/>
          <w:bCs/>
        </w:rPr>
        <w:t>Průměrn</w:t>
      </w:r>
      <w:r w:rsidR="00831415" w:rsidRPr="000B0B47">
        <w:rPr>
          <w:b/>
          <w:bCs/>
        </w:rPr>
        <w:t>ý</w:t>
      </w:r>
      <w:r w:rsidR="00EC3A6E" w:rsidRPr="000B0B47">
        <w:rPr>
          <w:b/>
          <w:bCs/>
        </w:rPr>
        <w:t xml:space="preserve"> věk respondenta</w:t>
      </w:r>
      <w:r w:rsidR="00EC3A6E">
        <w:t xml:space="preserve"> </w:t>
      </w:r>
      <w:r w:rsidR="000B0B47">
        <w:t xml:space="preserve">přitom </w:t>
      </w:r>
      <w:r w:rsidR="00831415">
        <w:t xml:space="preserve">dosáhl </w:t>
      </w:r>
      <w:r w:rsidR="00831415" w:rsidRPr="000B0B47">
        <w:rPr>
          <w:b/>
          <w:bCs/>
        </w:rPr>
        <w:t>47 let</w:t>
      </w:r>
      <w:r w:rsidR="00831415">
        <w:t>.</w:t>
      </w:r>
    </w:p>
    <w:p w14:paraId="3844D61D" w14:textId="575751A8" w:rsidR="00D129C3" w:rsidRDefault="00D129C3" w:rsidP="004D3E49">
      <w:pPr>
        <w:jc w:val="center"/>
      </w:pPr>
      <w:r w:rsidRPr="00D129C3">
        <w:rPr>
          <w:noProof/>
        </w:rPr>
        <w:drawing>
          <wp:inline distT="0" distB="0" distL="0" distR="0" wp14:anchorId="52E3E3ED" wp14:editId="1790AEA9">
            <wp:extent cx="1930400" cy="1320800"/>
            <wp:effectExtent l="0" t="0" r="0" b="0"/>
            <wp:docPr id="5" name="Graf 5">
              <a:extLst xmlns:a="http://schemas.openxmlformats.org/drawingml/2006/main">
                <a:ext uri="{FF2B5EF4-FFF2-40B4-BE49-F238E27FC236}">
                  <a16:creationId xmlns:a16="http://schemas.microsoft.com/office/drawing/2014/main" id="{BCAA1BE8-83D4-44ED-B06B-4617D388FBE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990A88" w:rsidRPr="00990A88">
        <w:rPr>
          <w:noProof/>
        </w:rPr>
        <w:drawing>
          <wp:inline distT="0" distB="0" distL="0" distR="0" wp14:anchorId="05ED7D10" wp14:editId="6873C246">
            <wp:extent cx="3549650" cy="1339850"/>
            <wp:effectExtent l="0" t="0" r="0" b="0"/>
            <wp:docPr id="8" name="Graf 8">
              <a:extLst xmlns:a="http://schemas.openxmlformats.org/drawingml/2006/main">
                <a:ext uri="{FF2B5EF4-FFF2-40B4-BE49-F238E27FC236}">
                  <a16:creationId xmlns:a16="http://schemas.microsoft.com/office/drawing/2014/main" id="{84948F40-C2D0-4CDA-9921-1FE9D9E36A0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0372286" w14:textId="15552E29" w:rsidR="00D129C3" w:rsidRDefault="00766970" w:rsidP="004D3E49">
      <w:pPr>
        <w:jc w:val="center"/>
      </w:pPr>
      <w:r w:rsidRPr="003136B0">
        <w:rPr>
          <w:noProof/>
        </w:rPr>
        <mc:AlternateContent>
          <mc:Choice Requires="cx2">
            <w:drawing>
              <wp:inline distT="0" distB="0" distL="0" distR="0" wp14:anchorId="44BE5C58" wp14:editId="1FB13524">
                <wp:extent cx="2828925" cy="2466975"/>
                <wp:effectExtent l="0" t="0" r="9525" b="9525"/>
                <wp:docPr id="10" name="Graf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E47F3161-E9B1-4FC3-B039-F5A41E80B3C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10"/>
                  </a:graphicData>
                </a:graphic>
              </wp:inline>
            </w:drawing>
          </mc:Choice>
          <mc:Fallback>
            <w:drawing>
              <wp:inline distT="0" distB="0" distL="0" distR="0" wp14:anchorId="44BE5C58" wp14:editId="1FB13524">
                <wp:extent cx="2828925" cy="2466975"/>
                <wp:effectExtent l="0" t="0" r="9525" b="9525"/>
                <wp:docPr id="10" name="Graf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E47F3161-E9B1-4FC3-B039-F5A41E80B3C9}"/>
                    </a:ext>
                  </a:extLst>
                </wp:docPr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Graf 10">
                          <a:extLst>
                            <a:ext uri="{FF2B5EF4-FFF2-40B4-BE49-F238E27FC236}">
                              <a16:creationId xmlns:a16="http://schemas.microsoft.com/office/drawing/2014/main" id="{E47F3161-E9B1-4FC3-B039-F5A41E80B3C9}"/>
                            </a:ext>
                          </a:extLst>
                        </pic:cNvPr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28925" cy="2466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  <w:r w:rsidR="00F6249C" w:rsidRPr="00F6249C">
        <w:rPr>
          <w:noProof/>
        </w:rPr>
        <mc:AlternateContent>
          <mc:Choice Requires="cx2">
            <w:drawing>
              <wp:inline distT="0" distB="0" distL="0" distR="0" wp14:anchorId="11873502" wp14:editId="23232A1A">
                <wp:extent cx="2914650" cy="2463800"/>
                <wp:effectExtent l="0" t="0" r="0" b="12700"/>
                <wp:docPr id="9" name="Graf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2FBA57A5-4753-4246-9309-6B3A63FC8F9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12"/>
                  </a:graphicData>
                </a:graphic>
              </wp:inline>
            </w:drawing>
          </mc:Choice>
          <mc:Fallback>
            <w:drawing>
              <wp:inline distT="0" distB="0" distL="0" distR="0" wp14:anchorId="11873502" wp14:editId="23232A1A">
                <wp:extent cx="2914650" cy="2463800"/>
                <wp:effectExtent l="0" t="0" r="0" b="12700"/>
                <wp:docPr id="9" name="Graf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2FBA57A5-4753-4246-9309-6B3A63FC8F9A}"/>
                    </a:ext>
                  </a:extLst>
                </wp:docPr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Graf 9">
                          <a:extLst>
                            <a:ext uri="{FF2B5EF4-FFF2-40B4-BE49-F238E27FC236}">
                              <a16:creationId xmlns:a16="http://schemas.microsoft.com/office/drawing/2014/main" id="{2FBA57A5-4753-4246-9309-6B3A63FC8F9A}"/>
                            </a:ext>
                          </a:extLst>
                        </pic:cNvPr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4650" cy="2463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3D896459" w14:textId="25B1B0D2" w:rsidR="006C373A" w:rsidRDefault="00676E99" w:rsidP="00AF5828">
      <w:pPr>
        <w:jc w:val="both"/>
      </w:pPr>
      <w:r w:rsidRPr="00676E99">
        <w:rPr>
          <w:noProof/>
        </w:rPr>
        <mc:AlternateContent>
          <mc:Choice Requires="cx2">
            <w:drawing>
              <wp:inline distT="0" distB="0" distL="0" distR="0" wp14:anchorId="2CD931A5" wp14:editId="4296B9D9">
                <wp:extent cx="5760720" cy="1895475"/>
                <wp:effectExtent l="0" t="0" r="11430" b="9525"/>
                <wp:docPr id="11" name="Graf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51F94017-377E-455C-9F67-A7E3A134F9E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14"/>
                  </a:graphicData>
                </a:graphic>
              </wp:inline>
            </w:drawing>
          </mc:Choice>
          <mc:Fallback>
            <w:drawing>
              <wp:inline distT="0" distB="0" distL="0" distR="0" wp14:anchorId="2CD931A5" wp14:editId="4296B9D9">
                <wp:extent cx="5760720" cy="1895475"/>
                <wp:effectExtent l="0" t="0" r="11430" b="9525"/>
                <wp:docPr id="11" name="Graf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51F94017-377E-455C-9F67-A7E3A134F9E8}"/>
                    </a:ext>
                  </a:extLst>
                </wp:docPr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Graf 11">
                          <a:extLst>
                            <a:ext uri="{FF2B5EF4-FFF2-40B4-BE49-F238E27FC236}">
                              <a16:creationId xmlns:a16="http://schemas.microsoft.com/office/drawing/2014/main" id="{51F94017-377E-455C-9F67-A7E3A134F9E8}"/>
                            </a:ext>
                          </a:extLst>
                        </pic:cNvPr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1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1895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2F4E217B" w14:textId="77777777" w:rsidR="006C373A" w:rsidRDefault="006C373A" w:rsidP="00AF5828">
      <w:pPr>
        <w:jc w:val="both"/>
      </w:pPr>
    </w:p>
    <w:p w14:paraId="0A6A684C" w14:textId="35BD723E" w:rsidR="006C373A" w:rsidRDefault="00934523" w:rsidP="00247B69">
      <w:pPr>
        <w:jc w:val="both"/>
      </w:pPr>
      <w:r>
        <w:t xml:space="preserve">Z poskytnutých odpovědí v rámci průzkumu v obecné rovině vyplynulo, že </w:t>
      </w:r>
      <w:r w:rsidR="00A0056F">
        <w:t>v</w:t>
      </w:r>
      <w:r w:rsidR="00A0056F" w:rsidRPr="00A0056F">
        <w:t>yšší částky</w:t>
      </w:r>
      <w:r w:rsidR="00545A78" w:rsidRPr="00545A78">
        <w:t xml:space="preserve"> </w:t>
      </w:r>
      <w:r w:rsidR="00545A78" w:rsidRPr="00A0056F">
        <w:t>spoří</w:t>
      </w:r>
      <w:r w:rsidR="00545A78">
        <w:t xml:space="preserve"> (</w:t>
      </w:r>
      <w:r w:rsidR="00547B1B">
        <w:t xml:space="preserve">což je </w:t>
      </w:r>
      <w:r w:rsidR="0012084B">
        <w:t xml:space="preserve">samozřejmě </w:t>
      </w:r>
      <w:r w:rsidR="00547B1B">
        <w:t>pochopitelné</w:t>
      </w:r>
      <w:r w:rsidR="00545A78">
        <w:t>)</w:t>
      </w:r>
      <w:r w:rsidR="00547B1B">
        <w:t xml:space="preserve"> </w:t>
      </w:r>
      <w:r w:rsidR="00A0056F" w:rsidRPr="00A0056F">
        <w:t>většinou lidé s vyššími příjmy</w:t>
      </w:r>
      <w:r w:rsidR="00547B1B">
        <w:t>.</w:t>
      </w:r>
      <w:r w:rsidR="009B72DA">
        <w:t xml:space="preserve"> </w:t>
      </w:r>
      <w:r w:rsidR="009B72DA" w:rsidRPr="009B72DA">
        <w:t>Ženy spoří obvykle menší částky do 2</w:t>
      </w:r>
      <w:r w:rsidR="00D5335D">
        <w:t>.</w:t>
      </w:r>
      <w:r w:rsidR="009B72DA" w:rsidRPr="009B72DA">
        <w:t>500 Kč</w:t>
      </w:r>
      <w:r w:rsidR="00D5335D">
        <w:t>, n</w:t>
      </w:r>
      <w:r w:rsidR="00D5335D" w:rsidRPr="00D5335D">
        <w:t>ejčastěji spoří starší lidé ve věku 55+ (1</w:t>
      </w:r>
      <w:r w:rsidR="00D5335D">
        <w:t>.</w:t>
      </w:r>
      <w:r w:rsidR="00D5335D" w:rsidRPr="00D5335D">
        <w:t>001 – 2</w:t>
      </w:r>
      <w:r w:rsidR="00D5335D">
        <w:t>.</w:t>
      </w:r>
      <w:r w:rsidR="00D5335D" w:rsidRPr="00D5335D">
        <w:t>500 Kč)</w:t>
      </w:r>
      <w:r w:rsidR="00D5335D">
        <w:t xml:space="preserve"> a </w:t>
      </w:r>
      <w:r w:rsidR="00247B69">
        <w:t xml:space="preserve">všechny věkové skupiny </w:t>
      </w:r>
      <w:r w:rsidR="004450C3">
        <w:t>pak uvádí, ž</w:t>
      </w:r>
      <w:r w:rsidR="00247B69">
        <w:t xml:space="preserve">e </w:t>
      </w:r>
      <w:r w:rsidR="00E352DD">
        <w:t xml:space="preserve">celkově </w:t>
      </w:r>
      <w:r w:rsidR="00247B69">
        <w:t xml:space="preserve">nashromážděné finanční úspory </w:t>
      </w:r>
      <w:r w:rsidR="00E72BAF">
        <w:t xml:space="preserve">v rámci </w:t>
      </w:r>
      <w:r w:rsidR="00E352DD">
        <w:t xml:space="preserve">jejich </w:t>
      </w:r>
      <w:r w:rsidR="00247B69">
        <w:t>domácnosti jsou</w:t>
      </w:r>
      <w:r w:rsidR="00152DBD">
        <w:t xml:space="preserve"> </w:t>
      </w:r>
      <w:r w:rsidR="00247B69">
        <w:t>většinou mezi 100</w:t>
      </w:r>
      <w:r w:rsidR="00F763C7">
        <w:t>.</w:t>
      </w:r>
      <w:r w:rsidR="00247B69">
        <w:t>001 a 500</w:t>
      </w:r>
      <w:r w:rsidR="00F763C7">
        <w:t>.</w:t>
      </w:r>
      <w:r w:rsidR="00247B69">
        <w:t>000 Kč.</w:t>
      </w:r>
      <w:r w:rsidR="00AC2F85">
        <w:t xml:space="preserve"> </w:t>
      </w:r>
      <w:r w:rsidR="000414E5" w:rsidRPr="000414E5">
        <w:t xml:space="preserve">Ženy </w:t>
      </w:r>
      <w:r w:rsidR="00BB29DD" w:rsidRPr="000414E5">
        <w:t>(77 %)</w:t>
      </w:r>
      <w:r w:rsidR="00BB29DD">
        <w:t xml:space="preserve"> </w:t>
      </w:r>
      <w:r w:rsidR="000414E5">
        <w:t xml:space="preserve">se pak </w:t>
      </w:r>
      <w:r w:rsidR="00EE2BA9">
        <w:t>v mnohem větší míře</w:t>
      </w:r>
      <w:r w:rsidR="00EE2BA9" w:rsidRPr="000414E5">
        <w:t xml:space="preserve"> </w:t>
      </w:r>
      <w:r w:rsidR="00452E5D">
        <w:t xml:space="preserve">než </w:t>
      </w:r>
      <w:r w:rsidR="00452E5D" w:rsidRPr="000414E5">
        <w:t>muži (23 %)</w:t>
      </w:r>
      <w:r w:rsidR="00452E5D">
        <w:t xml:space="preserve"> </w:t>
      </w:r>
      <w:r w:rsidR="00EE2BA9">
        <w:t xml:space="preserve">zdráhají </w:t>
      </w:r>
      <w:r w:rsidR="00F90C79">
        <w:t xml:space="preserve">také </w:t>
      </w:r>
      <w:r w:rsidR="0009285A">
        <w:t xml:space="preserve">u nás </w:t>
      </w:r>
      <w:r w:rsidR="000414E5" w:rsidRPr="000414E5">
        <w:t>na tuto otázku odpov</w:t>
      </w:r>
      <w:r w:rsidR="00F90C79">
        <w:t>ě</w:t>
      </w:r>
      <w:r w:rsidR="000414E5" w:rsidRPr="000414E5">
        <w:t>d</w:t>
      </w:r>
      <w:r w:rsidR="00F90C79">
        <w:t>ě</w:t>
      </w:r>
      <w:r w:rsidR="000414E5" w:rsidRPr="000414E5">
        <w:t>t.</w:t>
      </w:r>
    </w:p>
    <w:p w14:paraId="233A6A57" w14:textId="235662F6" w:rsidR="00AF5828" w:rsidRPr="00C3135C" w:rsidRDefault="00AF5828" w:rsidP="00AF5828">
      <w:pPr>
        <w:jc w:val="both"/>
      </w:pPr>
      <w:r w:rsidRPr="00C3135C">
        <w:rPr>
          <w:b/>
          <w:bCs/>
        </w:rPr>
        <w:t>Klíčov</w:t>
      </w:r>
      <w:r w:rsidR="00090521">
        <w:rPr>
          <w:b/>
          <w:bCs/>
        </w:rPr>
        <w:t>á</w:t>
      </w:r>
      <w:r w:rsidRPr="00C3135C">
        <w:rPr>
          <w:b/>
          <w:bCs/>
        </w:rPr>
        <w:t xml:space="preserve"> zjištění</w:t>
      </w:r>
      <w:r w:rsidRPr="00C3135C">
        <w:t>:</w:t>
      </w:r>
    </w:p>
    <w:p w14:paraId="7CADA7E0" w14:textId="66CA15F1" w:rsidR="00AF5828" w:rsidRDefault="00162097" w:rsidP="00AF5828">
      <w:pPr>
        <w:jc w:val="both"/>
      </w:pPr>
      <w:r>
        <w:t xml:space="preserve">Spotřebitelé </w:t>
      </w:r>
      <w:r w:rsidR="008A05B1">
        <w:t xml:space="preserve">v ČR jako potencionální </w:t>
      </w:r>
      <w:r w:rsidR="004C6F68">
        <w:t xml:space="preserve">retailoví </w:t>
      </w:r>
      <w:r w:rsidR="008A05B1">
        <w:t>investoři</w:t>
      </w:r>
      <w:r w:rsidR="00F134D1">
        <w:t xml:space="preserve"> </w:t>
      </w:r>
      <w:r w:rsidR="000511B0">
        <w:t xml:space="preserve">projevují zájem </w:t>
      </w:r>
      <w:r w:rsidR="004C6F68">
        <w:t xml:space="preserve">nejen </w:t>
      </w:r>
      <w:r w:rsidR="000511B0">
        <w:t xml:space="preserve">o </w:t>
      </w:r>
      <w:r w:rsidR="004A2C5A" w:rsidRPr="00F134D1">
        <w:t xml:space="preserve">oblast investic, spoření </w:t>
      </w:r>
      <w:r w:rsidR="00B523B6">
        <w:t>či</w:t>
      </w:r>
      <w:r w:rsidR="004A2C5A" w:rsidRPr="00F134D1">
        <w:t xml:space="preserve"> burzy</w:t>
      </w:r>
      <w:r w:rsidR="000511B0">
        <w:t xml:space="preserve">, </w:t>
      </w:r>
      <w:r w:rsidR="00B523B6">
        <w:t xml:space="preserve">ale </w:t>
      </w:r>
      <w:r w:rsidR="00DB7AE0">
        <w:t xml:space="preserve">i o </w:t>
      </w:r>
      <w:r w:rsidR="00C552DC">
        <w:t xml:space="preserve">nástroje a </w:t>
      </w:r>
      <w:r w:rsidR="00DB7AE0">
        <w:t>oblast udržitelného financování.</w:t>
      </w:r>
      <w:r w:rsidR="00C552DC">
        <w:t xml:space="preserve"> Zatímco </w:t>
      </w:r>
      <w:r w:rsidR="00144E71">
        <w:t xml:space="preserve">zájem o </w:t>
      </w:r>
      <w:r w:rsidR="00144E71" w:rsidRPr="00F134D1">
        <w:t xml:space="preserve">oblast investic, spoření </w:t>
      </w:r>
      <w:r w:rsidR="00144E71">
        <w:t>nebo</w:t>
      </w:r>
      <w:r w:rsidR="00144E71" w:rsidRPr="00F134D1">
        <w:t xml:space="preserve"> burzy</w:t>
      </w:r>
      <w:r w:rsidR="00144E71">
        <w:t xml:space="preserve"> projevují nejčastěji </w:t>
      </w:r>
      <w:r w:rsidR="00AB63B6">
        <w:t>muži ve věku 55+ (</w:t>
      </w:r>
      <w:r w:rsidR="00500CA3">
        <w:t xml:space="preserve">a to </w:t>
      </w:r>
      <w:r w:rsidR="00A87135">
        <w:t xml:space="preserve">více než </w:t>
      </w:r>
      <w:r w:rsidR="00AB63B6">
        <w:t>65</w:t>
      </w:r>
      <w:r w:rsidR="00AF6538">
        <w:t xml:space="preserve"> </w:t>
      </w:r>
      <w:r w:rsidR="00AB63B6">
        <w:t xml:space="preserve">%), </w:t>
      </w:r>
      <w:r w:rsidR="00AB63B6" w:rsidRPr="00F134D1">
        <w:t xml:space="preserve">zájem o udržitelná finanční řešení mají </w:t>
      </w:r>
      <w:r w:rsidR="00B8317A">
        <w:t xml:space="preserve">prakticky </w:t>
      </w:r>
      <w:r w:rsidR="00AB63B6" w:rsidRPr="00F134D1">
        <w:t>všechny věkové skupiny</w:t>
      </w:r>
      <w:r w:rsidR="00B8317A">
        <w:t xml:space="preserve"> bez rozdílu</w:t>
      </w:r>
      <w:r w:rsidR="00AB63B6" w:rsidRPr="00F134D1">
        <w:t>.</w:t>
      </w:r>
    </w:p>
    <w:p w14:paraId="23522A27" w14:textId="184DE1C3" w:rsidR="00F134D1" w:rsidRDefault="001D5B74" w:rsidP="00AF5828">
      <w:pPr>
        <w:jc w:val="both"/>
      </w:pPr>
      <w:r w:rsidRPr="001D5B74">
        <w:rPr>
          <w:noProof/>
        </w:rPr>
        <w:drawing>
          <wp:inline distT="0" distB="0" distL="0" distR="0" wp14:anchorId="6C69429E" wp14:editId="23378AC1">
            <wp:extent cx="2701925" cy="2755900"/>
            <wp:effectExtent l="0" t="0" r="0" b="0"/>
            <wp:docPr id="12" name="Graf 12">
              <a:extLst xmlns:a="http://schemas.openxmlformats.org/drawingml/2006/main">
                <a:ext uri="{FF2B5EF4-FFF2-40B4-BE49-F238E27FC236}">
                  <a16:creationId xmlns:a16="http://schemas.microsoft.com/office/drawing/2014/main" id="{E53D4B85-2AAA-4CA1-AF93-D60C9AA7E8D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9B5F3E" w:rsidRPr="009B5F3E">
        <w:rPr>
          <w:noProof/>
        </w:rPr>
        <w:t xml:space="preserve"> </w:t>
      </w:r>
      <w:r w:rsidR="009B5F3E" w:rsidRPr="009B5F3E">
        <w:rPr>
          <w:noProof/>
        </w:rPr>
        <w:drawing>
          <wp:inline distT="0" distB="0" distL="0" distR="0" wp14:anchorId="160C2781" wp14:editId="0430863E">
            <wp:extent cx="3003550" cy="2771775"/>
            <wp:effectExtent l="0" t="0" r="0" b="6350"/>
            <wp:docPr id="13" name="Graf 13">
              <a:extLst xmlns:a="http://schemas.openxmlformats.org/drawingml/2006/main">
                <a:ext uri="{FF2B5EF4-FFF2-40B4-BE49-F238E27FC236}">
                  <a16:creationId xmlns:a16="http://schemas.microsoft.com/office/drawing/2014/main" id="{EA5BBDCA-A2DE-497A-83B7-790BA10CD95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6F2B0087" w14:textId="021B099C" w:rsidR="00F134D1" w:rsidRDefault="00B714D2" w:rsidP="00AF5828">
      <w:pPr>
        <w:jc w:val="both"/>
      </w:pPr>
      <w:r>
        <w:t xml:space="preserve">Pokud jde o finanční cíle, lidé uvádí, že </w:t>
      </w:r>
      <w:r w:rsidR="001770EA">
        <w:t>nejčastěj</w:t>
      </w:r>
      <w:r w:rsidR="00D53C6B">
        <w:t>ším</w:t>
      </w:r>
      <w:r w:rsidR="00D51519">
        <w:t>i</w:t>
      </w:r>
      <w:r w:rsidR="00D53C6B">
        <w:t xml:space="preserve"> důvod</w:t>
      </w:r>
      <w:r w:rsidR="00D51519">
        <w:t>y</w:t>
      </w:r>
      <w:r w:rsidR="00445B92">
        <w:t xml:space="preserve"> </w:t>
      </w:r>
      <w:r w:rsidR="00D53C6B">
        <w:t xml:space="preserve">pro </w:t>
      </w:r>
      <w:r w:rsidR="00225059">
        <w:t xml:space="preserve">jejich </w:t>
      </w:r>
      <w:r w:rsidR="00D53C6B">
        <w:t xml:space="preserve">úspory </w:t>
      </w:r>
      <w:r w:rsidR="00445B92">
        <w:t>je</w:t>
      </w:r>
      <w:r w:rsidR="00A17149">
        <w:t xml:space="preserve"> </w:t>
      </w:r>
      <w:r w:rsidR="00D51519">
        <w:t xml:space="preserve">buď </w:t>
      </w:r>
      <w:r w:rsidR="00376EE3">
        <w:t xml:space="preserve">potřeba </w:t>
      </w:r>
      <w:r w:rsidR="00A17149">
        <w:t>v</w:t>
      </w:r>
      <w:r w:rsidR="00DA08B2" w:rsidRPr="00DA08B2">
        <w:t>ytvořit si preventivní polštář, který</w:t>
      </w:r>
      <w:r w:rsidR="00AB1D65">
        <w:t xml:space="preserve"> pak</w:t>
      </w:r>
      <w:r w:rsidR="00DA08B2" w:rsidRPr="00DA08B2">
        <w:t xml:space="preserve"> lze použít v případě problém</w:t>
      </w:r>
      <w:r w:rsidR="002E5BD4">
        <w:t xml:space="preserve">ů, anebo </w:t>
      </w:r>
      <w:r w:rsidR="00BC382C">
        <w:t>potřeba si s</w:t>
      </w:r>
      <w:r w:rsidR="00BC382C" w:rsidRPr="00BC382C">
        <w:t>pořit na důchod</w:t>
      </w:r>
      <w:r w:rsidR="008C7882">
        <w:t xml:space="preserve">. </w:t>
      </w:r>
      <w:r w:rsidR="009D6236">
        <w:t xml:space="preserve">Velká část </w:t>
      </w:r>
      <w:r w:rsidR="00BF577E">
        <w:t>spotřebitelů</w:t>
      </w:r>
      <w:r w:rsidR="009D6236">
        <w:t xml:space="preserve"> </w:t>
      </w:r>
      <w:r w:rsidR="00392B42">
        <w:t xml:space="preserve">ale </w:t>
      </w:r>
      <w:r w:rsidR="00F57E27">
        <w:t xml:space="preserve">také </w:t>
      </w:r>
      <w:r w:rsidR="00D025F4">
        <w:t>uvádí, že jsou pro ně důležité i nefinanční cíle</w:t>
      </w:r>
      <w:r w:rsidR="00924ADA">
        <w:t xml:space="preserve">, a </w:t>
      </w:r>
      <w:r w:rsidR="00F77BF9">
        <w:t xml:space="preserve">do značné míry se </w:t>
      </w:r>
      <w:r w:rsidR="00930326">
        <w:t xml:space="preserve">pak </w:t>
      </w:r>
      <w:r w:rsidR="00F77BF9">
        <w:t xml:space="preserve">s nimi i </w:t>
      </w:r>
      <w:r w:rsidR="00924ADA">
        <w:t>ztotožňuje</w:t>
      </w:r>
      <w:r w:rsidR="00211D59">
        <w:t>.</w:t>
      </w:r>
      <w:r w:rsidR="00F05911">
        <w:t xml:space="preserve"> </w:t>
      </w:r>
      <w:r w:rsidR="00F05911" w:rsidRPr="00900A16">
        <w:rPr>
          <w:b/>
          <w:bCs/>
        </w:rPr>
        <w:t>A</w:t>
      </w:r>
      <w:r w:rsidR="00F05911">
        <w:t xml:space="preserve"> = </w:t>
      </w:r>
      <w:r w:rsidR="00F50B77">
        <w:t xml:space="preserve">% </w:t>
      </w:r>
      <w:r w:rsidR="00A76A82">
        <w:t>úspor</w:t>
      </w:r>
      <w:r w:rsidR="00F50B77">
        <w:t>,</w:t>
      </w:r>
      <w:r w:rsidR="00A76A82">
        <w:t xml:space="preserve"> které se vztahují k daném cíli, </w:t>
      </w:r>
      <w:r w:rsidR="00A76A82" w:rsidRPr="00900A16">
        <w:rPr>
          <w:b/>
          <w:bCs/>
        </w:rPr>
        <w:t>B</w:t>
      </w:r>
      <w:r w:rsidR="00A76A82">
        <w:t xml:space="preserve"> = </w:t>
      </w:r>
      <w:r w:rsidR="001D6509">
        <w:t xml:space="preserve">% lidí, kteří </w:t>
      </w:r>
      <w:r w:rsidR="00326950">
        <w:t>s</w:t>
      </w:r>
      <w:r w:rsidR="00B334E2">
        <w:t xml:space="preserve"> daným </w:t>
      </w:r>
      <w:r w:rsidR="00326950">
        <w:t xml:space="preserve">výrokem </w:t>
      </w:r>
      <w:r w:rsidR="001D6509">
        <w:t xml:space="preserve">souhlasí nebo </w:t>
      </w:r>
      <w:r w:rsidR="00326950">
        <w:t>rozhodně souhlasí</w:t>
      </w:r>
      <w:r w:rsidR="00900A16"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457FC4" w:rsidRPr="00F1590E" w14:paraId="44959C79" w14:textId="77777777" w:rsidTr="008D198C">
        <w:tc>
          <w:tcPr>
            <w:tcW w:w="704" w:type="dxa"/>
            <w:shd w:val="clear" w:color="auto" w:fill="FFF2CC" w:themeFill="accent4" w:themeFillTint="33"/>
          </w:tcPr>
          <w:p w14:paraId="1C9CAC9B" w14:textId="1A9E0DCB" w:rsidR="00457FC4" w:rsidRPr="00B334E2" w:rsidRDefault="004377CE" w:rsidP="004377CE">
            <w:pPr>
              <w:pStyle w:val="-wm-msonormal"/>
              <w:jc w:val="center"/>
              <w:rPr>
                <w:b/>
                <w:bCs/>
                <w:sz w:val="20"/>
                <w:szCs w:val="20"/>
                <w:lang w:val="cs"/>
              </w:rPr>
            </w:pPr>
            <w:r w:rsidRPr="00B334E2">
              <w:rPr>
                <w:b/>
                <w:bCs/>
                <w:sz w:val="20"/>
                <w:szCs w:val="20"/>
                <w:lang w:val="cs"/>
              </w:rPr>
              <w:t>A</w:t>
            </w:r>
          </w:p>
        </w:tc>
        <w:tc>
          <w:tcPr>
            <w:tcW w:w="8358" w:type="dxa"/>
            <w:shd w:val="clear" w:color="auto" w:fill="FFF2CC" w:themeFill="accent4" w:themeFillTint="33"/>
          </w:tcPr>
          <w:p w14:paraId="41967865" w14:textId="676AEF53" w:rsidR="00457FC4" w:rsidRPr="001628BB" w:rsidRDefault="00CF6EA5" w:rsidP="00AF5828">
            <w:pPr>
              <w:pStyle w:val="-wm-msonormal"/>
              <w:jc w:val="both"/>
              <w:rPr>
                <w:sz w:val="20"/>
                <w:szCs w:val="20"/>
                <w:lang w:val="cs"/>
              </w:rPr>
            </w:pPr>
            <w:r w:rsidRPr="001628BB">
              <w:rPr>
                <w:sz w:val="20"/>
                <w:szCs w:val="20"/>
                <w:lang w:val="cs"/>
              </w:rPr>
              <w:t>Nejčastěji uváděné f</w:t>
            </w:r>
            <w:r w:rsidR="000E1458" w:rsidRPr="001628BB">
              <w:rPr>
                <w:sz w:val="20"/>
                <w:szCs w:val="20"/>
                <w:lang w:val="cs"/>
              </w:rPr>
              <w:t xml:space="preserve">inanční cíle </w:t>
            </w:r>
            <w:r w:rsidRPr="001628BB">
              <w:rPr>
                <w:sz w:val="20"/>
                <w:szCs w:val="20"/>
                <w:lang w:val="cs"/>
              </w:rPr>
              <w:t>..</w:t>
            </w:r>
          </w:p>
        </w:tc>
      </w:tr>
      <w:tr w:rsidR="00457FC4" w:rsidRPr="00F1590E" w14:paraId="32D497C0" w14:textId="77777777" w:rsidTr="00F314E1">
        <w:tc>
          <w:tcPr>
            <w:tcW w:w="704" w:type="dxa"/>
          </w:tcPr>
          <w:p w14:paraId="3AA0A95F" w14:textId="12198937" w:rsidR="00457FC4" w:rsidRPr="00F1590E" w:rsidRDefault="00F314E1" w:rsidP="004377CE">
            <w:pPr>
              <w:pStyle w:val="-wm-msonormal"/>
              <w:jc w:val="center"/>
              <w:rPr>
                <w:sz w:val="20"/>
                <w:szCs w:val="20"/>
                <w:lang w:val="cs"/>
              </w:rPr>
            </w:pPr>
            <w:r>
              <w:rPr>
                <w:sz w:val="20"/>
                <w:szCs w:val="20"/>
                <w:lang w:val="cs"/>
              </w:rPr>
              <w:t>32 %</w:t>
            </w:r>
          </w:p>
        </w:tc>
        <w:tc>
          <w:tcPr>
            <w:tcW w:w="8358" w:type="dxa"/>
          </w:tcPr>
          <w:p w14:paraId="408E6C11" w14:textId="463E8A73" w:rsidR="00457FC4" w:rsidRPr="00F1590E" w:rsidRDefault="00F6390D" w:rsidP="00AF5828">
            <w:pPr>
              <w:pStyle w:val="-wm-msonormal"/>
              <w:jc w:val="both"/>
              <w:rPr>
                <w:sz w:val="20"/>
                <w:szCs w:val="20"/>
                <w:lang w:val="cs"/>
              </w:rPr>
            </w:pPr>
            <w:r>
              <w:rPr>
                <w:sz w:val="20"/>
                <w:szCs w:val="20"/>
                <w:lang w:val="cs"/>
              </w:rPr>
              <w:t xml:space="preserve">.. </w:t>
            </w:r>
            <w:r w:rsidR="00E37C11" w:rsidRPr="00F1590E">
              <w:rPr>
                <w:sz w:val="20"/>
                <w:szCs w:val="20"/>
                <w:lang w:val="cs"/>
              </w:rPr>
              <w:t>vytvořit si preventivní polštář, který lze použít v případě problému</w:t>
            </w:r>
          </w:p>
        </w:tc>
      </w:tr>
      <w:tr w:rsidR="00457FC4" w:rsidRPr="00F1590E" w14:paraId="685C99E6" w14:textId="77777777" w:rsidTr="00F314E1">
        <w:tc>
          <w:tcPr>
            <w:tcW w:w="704" w:type="dxa"/>
          </w:tcPr>
          <w:p w14:paraId="20CE76D8" w14:textId="02B40868" w:rsidR="00457FC4" w:rsidRPr="00F1590E" w:rsidRDefault="0039646A" w:rsidP="004377CE">
            <w:pPr>
              <w:pStyle w:val="-wm-msonormal"/>
              <w:jc w:val="center"/>
              <w:rPr>
                <w:sz w:val="20"/>
                <w:szCs w:val="20"/>
                <w:lang w:val="cs"/>
              </w:rPr>
            </w:pPr>
            <w:r>
              <w:rPr>
                <w:sz w:val="20"/>
                <w:szCs w:val="20"/>
                <w:lang w:val="cs"/>
              </w:rPr>
              <w:t>23 %</w:t>
            </w:r>
          </w:p>
        </w:tc>
        <w:tc>
          <w:tcPr>
            <w:tcW w:w="8358" w:type="dxa"/>
          </w:tcPr>
          <w:p w14:paraId="2BB20AFF" w14:textId="0E0CFFDF" w:rsidR="00457FC4" w:rsidRPr="00F1590E" w:rsidRDefault="00215031" w:rsidP="00AF5828">
            <w:pPr>
              <w:pStyle w:val="-wm-msonormal"/>
              <w:jc w:val="both"/>
              <w:rPr>
                <w:sz w:val="20"/>
                <w:szCs w:val="20"/>
                <w:lang w:val="cs"/>
              </w:rPr>
            </w:pPr>
            <w:r>
              <w:rPr>
                <w:sz w:val="20"/>
                <w:szCs w:val="20"/>
                <w:lang w:val="cs"/>
              </w:rPr>
              <w:t>.. s</w:t>
            </w:r>
            <w:r w:rsidRPr="00215031">
              <w:rPr>
                <w:sz w:val="20"/>
                <w:szCs w:val="20"/>
                <w:lang w:val="cs"/>
              </w:rPr>
              <w:t>pořit si na důchod</w:t>
            </w:r>
          </w:p>
        </w:tc>
      </w:tr>
      <w:tr w:rsidR="00457FC4" w:rsidRPr="00F1590E" w14:paraId="64334579" w14:textId="77777777" w:rsidTr="00F314E1">
        <w:tc>
          <w:tcPr>
            <w:tcW w:w="704" w:type="dxa"/>
          </w:tcPr>
          <w:p w14:paraId="4388EE69" w14:textId="18926BED" w:rsidR="00457FC4" w:rsidRPr="00F1590E" w:rsidRDefault="000A6AEE" w:rsidP="004377CE">
            <w:pPr>
              <w:pStyle w:val="-wm-msonormal"/>
              <w:jc w:val="center"/>
              <w:rPr>
                <w:sz w:val="20"/>
                <w:szCs w:val="20"/>
                <w:lang w:val="cs"/>
              </w:rPr>
            </w:pPr>
            <w:r>
              <w:rPr>
                <w:sz w:val="20"/>
                <w:szCs w:val="20"/>
                <w:lang w:val="cs"/>
              </w:rPr>
              <w:t>12 %</w:t>
            </w:r>
          </w:p>
        </w:tc>
        <w:tc>
          <w:tcPr>
            <w:tcW w:w="8358" w:type="dxa"/>
          </w:tcPr>
          <w:p w14:paraId="772F1486" w14:textId="2CA7102D" w:rsidR="00457FC4" w:rsidRPr="00F1590E" w:rsidRDefault="0039646A" w:rsidP="00AF5828">
            <w:pPr>
              <w:pStyle w:val="-wm-msonormal"/>
              <w:jc w:val="both"/>
              <w:rPr>
                <w:sz w:val="20"/>
                <w:szCs w:val="20"/>
                <w:lang w:val="cs"/>
              </w:rPr>
            </w:pPr>
            <w:r>
              <w:rPr>
                <w:sz w:val="20"/>
                <w:szCs w:val="20"/>
                <w:lang w:val="cs"/>
              </w:rPr>
              <w:t>.. v</w:t>
            </w:r>
            <w:r w:rsidRPr="0039646A">
              <w:rPr>
                <w:sz w:val="20"/>
                <w:szCs w:val="20"/>
                <w:lang w:val="cs"/>
              </w:rPr>
              <w:t xml:space="preserve">ytvořit si dlouhodobý nárůst bohatství, které by mohlo být </w:t>
            </w:r>
            <w:r w:rsidR="008D198C" w:rsidRPr="0039646A">
              <w:rPr>
                <w:sz w:val="20"/>
                <w:szCs w:val="20"/>
                <w:lang w:val="cs"/>
              </w:rPr>
              <w:t xml:space="preserve">nakonec </w:t>
            </w:r>
            <w:r w:rsidRPr="0039646A">
              <w:rPr>
                <w:sz w:val="20"/>
                <w:szCs w:val="20"/>
                <w:lang w:val="cs"/>
              </w:rPr>
              <w:t>odkázáno mým dětem</w:t>
            </w:r>
          </w:p>
        </w:tc>
      </w:tr>
      <w:tr w:rsidR="0069396A" w:rsidRPr="00F1590E" w14:paraId="6CAF637F" w14:textId="77777777" w:rsidTr="00F314E1">
        <w:tc>
          <w:tcPr>
            <w:tcW w:w="704" w:type="dxa"/>
          </w:tcPr>
          <w:p w14:paraId="1DFD2945" w14:textId="1BA7233F" w:rsidR="0069396A" w:rsidRPr="00F1590E" w:rsidRDefault="0069396A" w:rsidP="0069396A">
            <w:pPr>
              <w:pStyle w:val="-wm-msonormal"/>
              <w:jc w:val="center"/>
              <w:rPr>
                <w:sz w:val="20"/>
                <w:szCs w:val="20"/>
                <w:lang w:val="cs"/>
              </w:rPr>
            </w:pPr>
            <w:r>
              <w:rPr>
                <w:sz w:val="20"/>
                <w:szCs w:val="20"/>
                <w:lang w:val="cs"/>
              </w:rPr>
              <w:t>12 %</w:t>
            </w:r>
          </w:p>
        </w:tc>
        <w:tc>
          <w:tcPr>
            <w:tcW w:w="8358" w:type="dxa"/>
          </w:tcPr>
          <w:p w14:paraId="14250EA4" w14:textId="29914813" w:rsidR="0069396A" w:rsidRPr="00F1590E" w:rsidRDefault="0069396A" w:rsidP="0069396A">
            <w:pPr>
              <w:pStyle w:val="-wm-msonormal"/>
              <w:jc w:val="both"/>
              <w:rPr>
                <w:sz w:val="20"/>
                <w:szCs w:val="20"/>
                <w:lang w:val="cs"/>
              </w:rPr>
            </w:pPr>
            <w:r>
              <w:rPr>
                <w:sz w:val="20"/>
                <w:szCs w:val="20"/>
                <w:lang w:val="cs"/>
              </w:rPr>
              <w:t>.. v</w:t>
            </w:r>
            <w:r w:rsidRPr="0069396A">
              <w:rPr>
                <w:sz w:val="20"/>
                <w:szCs w:val="20"/>
                <w:lang w:val="cs"/>
              </w:rPr>
              <w:t>ytvořit si dodatečné příjmy</w:t>
            </w:r>
          </w:p>
        </w:tc>
      </w:tr>
      <w:tr w:rsidR="0069396A" w:rsidRPr="00F1590E" w14:paraId="6C79EE4F" w14:textId="77777777" w:rsidTr="00F314E1">
        <w:tc>
          <w:tcPr>
            <w:tcW w:w="704" w:type="dxa"/>
          </w:tcPr>
          <w:p w14:paraId="1F88E8A3" w14:textId="017463C1" w:rsidR="0069396A" w:rsidRPr="00F1590E" w:rsidRDefault="00074004" w:rsidP="0069396A">
            <w:pPr>
              <w:pStyle w:val="-wm-msonormal"/>
              <w:jc w:val="center"/>
              <w:rPr>
                <w:sz w:val="20"/>
                <w:szCs w:val="20"/>
                <w:lang w:val="cs"/>
              </w:rPr>
            </w:pPr>
            <w:r>
              <w:rPr>
                <w:sz w:val="20"/>
                <w:szCs w:val="20"/>
                <w:lang w:val="cs"/>
              </w:rPr>
              <w:t>8 %</w:t>
            </w:r>
          </w:p>
        </w:tc>
        <w:tc>
          <w:tcPr>
            <w:tcW w:w="8358" w:type="dxa"/>
          </w:tcPr>
          <w:p w14:paraId="62518576" w14:textId="025F2011" w:rsidR="0069396A" w:rsidRPr="00F1590E" w:rsidRDefault="00074004" w:rsidP="0069396A">
            <w:pPr>
              <w:pStyle w:val="-wm-msonormal"/>
              <w:jc w:val="both"/>
              <w:rPr>
                <w:sz w:val="20"/>
                <w:szCs w:val="20"/>
                <w:lang w:val="cs"/>
              </w:rPr>
            </w:pPr>
            <w:r>
              <w:rPr>
                <w:sz w:val="20"/>
                <w:szCs w:val="20"/>
                <w:lang w:val="cs"/>
              </w:rPr>
              <w:t>.. s</w:t>
            </w:r>
            <w:r w:rsidRPr="00074004">
              <w:rPr>
                <w:sz w:val="20"/>
                <w:szCs w:val="20"/>
                <w:lang w:val="cs"/>
              </w:rPr>
              <w:t>pořit si peníze na osobní projekty</w:t>
            </w:r>
          </w:p>
        </w:tc>
      </w:tr>
      <w:tr w:rsidR="0069396A" w:rsidRPr="00F1590E" w14:paraId="1DCFEBC5" w14:textId="77777777" w:rsidTr="00F314E1">
        <w:tc>
          <w:tcPr>
            <w:tcW w:w="704" w:type="dxa"/>
          </w:tcPr>
          <w:p w14:paraId="1CB842DD" w14:textId="74B56BD4" w:rsidR="0069396A" w:rsidRPr="00F1590E" w:rsidRDefault="00074004" w:rsidP="0069396A">
            <w:pPr>
              <w:pStyle w:val="-wm-msonormal"/>
              <w:jc w:val="center"/>
              <w:rPr>
                <w:sz w:val="20"/>
                <w:szCs w:val="20"/>
                <w:lang w:val="cs"/>
              </w:rPr>
            </w:pPr>
            <w:r>
              <w:rPr>
                <w:sz w:val="20"/>
                <w:szCs w:val="20"/>
                <w:lang w:val="cs"/>
              </w:rPr>
              <w:t>7 %</w:t>
            </w:r>
          </w:p>
        </w:tc>
        <w:tc>
          <w:tcPr>
            <w:tcW w:w="8358" w:type="dxa"/>
          </w:tcPr>
          <w:p w14:paraId="63E9DCFE" w14:textId="7F23822A" w:rsidR="0069396A" w:rsidRPr="00F1590E" w:rsidRDefault="00074004" w:rsidP="0069396A">
            <w:pPr>
              <w:pStyle w:val="-wm-msonormal"/>
              <w:jc w:val="both"/>
              <w:rPr>
                <w:sz w:val="20"/>
                <w:szCs w:val="20"/>
                <w:lang w:val="cs"/>
              </w:rPr>
            </w:pPr>
            <w:r>
              <w:rPr>
                <w:sz w:val="20"/>
                <w:szCs w:val="20"/>
                <w:lang w:val="cs"/>
              </w:rPr>
              <w:t xml:space="preserve">.. </w:t>
            </w:r>
            <w:r w:rsidR="00C84ADF">
              <w:rPr>
                <w:sz w:val="20"/>
                <w:szCs w:val="20"/>
                <w:lang w:val="cs"/>
              </w:rPr>
              <w:t>s</w:t>
            </w:r>
            <w:r w:rsidR="00C84ADF" w:rsidRPr="00C84ADF">
              <w:rPr>
                <w:sz w:val="20"/>
                <w:szCs w:val="20"/>
                <w:lang w:val="cs"/>
              </w:rPr>
              <w:t>pořit peníze dětem nebo příbuzným</w:t>
            </w:r>
          </w:p>
        </w:tc>
      </w:tr>
      <w:tr w:rsidR="0069396A" w:rsidRPr="00F1590E" w14:paraId="382CE1AF" w14:textId="77777777" w:rsidTr="00F314E1">
        <w:tc>
          <w:tcPr>
            <w:tcW w:w="704" w:type="dxa"/>
          </w:tcPr>
          <w:p w14:paraId="59909CC4" w14:textId="51C4A922" w:rsidR="0069396A" w:rsidRPr="00F1590E" w:rsidRDefault="00074004" w:rsidP="0069396A">
            <w:pPr>
              <w:pStyle w:val="-wm-msonormal"/>
              <w:jc w:val="center"/>
              <w:rPr>
                <w:sz w:val="20"/>
                <w:szCs w:val="20"/>
                <w:lang w:val="cs"/>
              </w:rPr>
            </w:pPr>
            <w:r>
              <w:rPr>
                <w:sz w:val="20"/>
                <w:szCs w:val="20"/>
                <w:lang w:val="cs"/>
              </w:rPr>
              <w:t>6 %</w:t>
            </w:r>
          </w:p>
        </w:tc>
        <w:tc>
          <w:tcPr>
            <w:tcW w:w="8358" w:type="dxa"/>
          </w:tcPr>
          <w:p w14:paraId="1BDAE917" w14:textId="622D1172" w:rsidR="0069396A" w:rsidRPr="00F1590E" w:rsidRDefault="00C84ADF" w:rsidP="0069396A">
            <w:pPr>
              <w:pStyle w:val="-wm-msonormal"/>
              <w:jc w:val="both"/>
              <w:rPr>
                <w:sz w:val="20"/>
                <w:szCs w:val="20"/>
                <w:lang w:val="cs"/>
              </w:rPr>
            </w:pPr>
            <w:r>
              <w:rPr>
                <w:sz w:val="20"/>
                <w:szCs w:val="20"/>
                <w:lang w:val="cs"/>
              </w:rPr>
              <w:t>.. j</w:t>
            </w:r>
            <w:r w:rsidRPr="00C84ADF">
              <w:rPr>
                <w:sz w:val="20"/>
                <w:szCs w:val="20"/>
                <w:lang w:val="cs"/>
              </w:rPr>
              <w:t>akýkoli jiný cíl</w:t>
            </w:r>
            <w:r>
              <w:rPr>
                <w:sz w:val="20"/>
                <w:szCs w:val="20"/>
                <w:lang w:val="cs"/>
              </w:rPr>
              <w:t xml:space="preserve"> </w:t>
            </w:r>
            <w:r w:rsidR="00B312BD">
              <w:rPr>
                <w:sz w:val="20"/>
                <w:szCs w:val="20"/>
                <w:lang w:val="cs"/>
              </w:rPr>
              <w:t>(</w:t>
            </w:r>
            <w:r w:rsidR="00354F66">
              <w:rPr>
                <w:sz w:val="20"/>
                <w:szCs w:val="20"/>
                <w:lang w:val="cs"/>
              </w:rPr>
              <w:t xml:space="preserve">např. </w:t>
            </w:r>
            <w:r w:rsidR="00354F66" w:rsidRPr="00354F66">
              <w:rPr>
                <w:sz w:val="20"/>
                <w:szCs w:val="20"/>
                <w:lang w:val="cs"/>
              </w:rPr>
              <w:t xml:space="preserve">pořízení </w:t>
            </w:r>
            <w:r w:rsidR="00E2030C">
              <w:rPr>
                <w:sz w:val="20"/>
                <w:szCs w:val="20"/>
                <w:lang w:val="cs"/>
              </w:rPr>
              <w:t>či</w:t>
            </w:r>
            <w:r w:rsidR="00354F66" w:rsidRPr="00354F66">
              <w:rPr>
                <w:sz w:val="20"/>
                <w:szCs w:val="20"/>
                <w:lang w:val="cs"/>
              </w:rPr>
              <w:t xml:space="preserve"> rekonstrukce </w:t>
            </w:r>
            <w:r w:rsidR="00E2030C" w:rsidRPr="00354F66">
              <w:rPr>
                <w:sz w:val="20"/>
                <w:szCs w:val="20"/>
                <w:lang w:val="cs"/>
              </w:rPr>
              <w:t>nemovitosti</w:t>
            </w:r>
            <w:r w:rsidR="00354F66" w:rsidRPr="00354F66">
              <w:rPr>
                <w:sz w:val="20"/>
                <w:szCs w:val="20"/>
                <w:lang w:val="cs"/>
              </w:rPr>
              <w:t xml:space="preserve">, dovolená </w:t>
            </w:r>
            <w:r w:rsidR="00B312BD">
              <w:rPr>
                <w:sz w:val="20"/>
                <w:szCs w:val="20"/>
                <w:lang w:val="cs"/>
              </w:rPr>
              <w:t>nebo</w:t>
            </w:r>
            <w:r w:rsidR="00354F66" w:rsidRPr="00354F66">
              <w:rPr>
                <w:sz w:val="20"/>
                <w:szCs w:val="20"/>
                <w:lang w:val="cs"/>
              </w:rPr>
              <w:t xml:space="preserve"> nákup automobil</w:t>
            </w:r>
            <w:r w:rsidR="0058468E">
              <w:rPr>
                <w:sz w:val="20"/>
                <w:szCs w:val="20"/>
                <w:lang w:val="cs"/>
              </w:rPr>
              <w:t>u</w:t>
            </w:r>
            <w:r w:rsidR="00354F66" w:rsidRPr="00354F66">
              <w:rPr>
                <w:sz w:val="20"/>
                <w:szCs w:val="20"/>
                <w:lang w:val="cs"/>
              </w:rPr>
              <w:t xml:space="preserve"> apod.</w:t>
            </w:r>
            <w:r w:rsidR="00B312BD">
              <w:rPr>
                <w:sz w:val="20"/>
                <w:szCs w:val="20"/>
                <w:lang w:val="cs"/>
              </w:rPr>
              <w:t>)</w:t>
            </w:r>
          </w:p>
        </w:tc>
      </w:tr>
    </w:tbl>
    <w:p w14:paraId="2D0E335D" w14:textId="77777777" w:rsidR="00AF5828" w:rsidRPr="00ED1017" w:rsidRDefault="00AF5828" w:rsidP="00AF5828">
      <w:pPr>
        <w:pStyle w:val="-wm-msonormal"/>
        <w:jc w:val="both"/>
        <w:rPr>
          <w:sz w:val="2"/>
          <w:szCs w:val="2"/>
          <w:lang w:val="c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359"/>
        <w:gridCol w:w="703"/>
      </w:tblGrid>
      <w:tr w:rsidR="00ED1017" w:rsidRPr="009F5331" w14:paraId="26725750" w14:textId="77777777" w:rsidTr="008D198C">
        <w:tc>
          <w:tcPr>
            <w:tcW w:w="8359" w:type="dxa"/>
            <w:shd w:val="clear" w:color="auto" w:fill="FFF2CC" w:themeFill="accent4" w:themeFillTint="33"/>
          </w:tcPr>
          <w:p w14:paraId="27DC0710" w14:textId="52065C42" w:rsidR="00ED1017" w:rsidRPr="001628BB" w:rsidRDefault="001C0437" w:rsidP="00AF5828">
            <w:pPr>
              <w:pStyle w:val="-wm-msonormal"/>
              <w:jc w:val="both"/>
              <w:rPr>
                <w:sz w:val="20"/>
                <w:szCs w:val="20"/>
                <w:lang w:val="cs"/>
              </w:rPr>
            </w:pPr>
            <w:r w:rsidRPr="001628BB">
              <w:rPr>
                <w:sz w:val="20"/>
                <w:szCs w:val="20"/>
                <w:lang w:val="cs"/>
              </w:rPr>
              <w:t>Jednotlivé</w:t>
            </w:r>
            <w:r w:rsidR="007F30DC" w:rsidRPr="001628BB">
              <w:rPr>
                <w:sz w:val="20"/>
                <w:szCs w:val="20"/>
                <w:lang w:val="cs"/>
              </w:rPr>
              <w:t xml:space="preserve"> výroky a </w:t>
            </w:r>
            <w:r w:rsidR="00517655" w:rsidRPr="001628BB">
              <w:rPr>
                <w:sz w:val="20"/>
                <w:szCs w:val="20"/>
                <w:lang w:val="cs"/>
              </w:rPr>
              <w:t xml:space="preserve">celkový </w:t>
            </w:r>
            <w:r w:rsidR="00FD5499" w:rsidRPr="001628BB">
              <w:rPr>
                <w:sz w:val="20"/>
                <w:szCs w:val="20"/>
                <w:lang w:val="cs"/>
              </w:rPr>
              <w:t>souhlas s nimi ..</w:t>
            </w:r>
          </w:p>
        </w:tc>
        <w:tc>
          <w:tcPr>
            <w:tcW w:w="703" w:type="dxa"/>
            <w:shd w:val="clear" w:color="auto" w:fill="FFF2CC" w:themeFill="accent4" w:themeFillTint="33"/>
          </w:tcPr>
          <w:p w14:paraId="3F07B9DE" w14:textId="3C83E9E8" w:rsidR="00ED1017" w:rsidRPr="00517655" w:rsidRDefault="004377CE" w:rsidP="004377CE">
            <w:pPr>
              <w:pStyle w:val="-wm-msonormal"/>
              <w:jc w:val="center"/>
              <w:rPr>
                <w:b/>
                <w:bCs/>
                <w:sz w:val="20"/>
                <w:szCs w:val="20"/>
                <w:lang w:val="cs"/>
              </w:rPr>
            </w:pPr>
            <w:r w:rsidRPr="00517655">
              <w:rPr>
                <w:b/>
                <w:bCs/>
                <w:sz w:val="20"/>
                <w:szCs w:val="20"/>
                <w:lang w:val="cs"/>
              </w:rPr>
              <w:t>B</w:t>
            </w:r>
          </w:p>
        </w:tc>
      </w:tr>
      <w:tr w:rsidR="00224B67" w:rsidRPr="009F5331" w14:paraId="3BDD7F62" w14:textId="77777777" w:rsidTr="00F6390D">
        <w:tc>
          <w:tcPr>
            <w:tcW w:w="8359" w:type="dxa"/>
          </w:tcPr>
          <w:p w14:paraId="0B8C4D7D" w14:textId="17BEA48D" w:rsidR="00224B67" w:rsidRPr="009F5331" w:rsidRDefault="00F6390D" w:rsidP="00224B67">
            <w:pPr>
              <w:pStyle w:val="-wm-msonormal"/>
              <w:jc w:val="both"/>
              <w:rPr>
                <w:sz w:val="20"/>
                <w:szCs w:val="20"/>
                <w:lang w:val="cs"/>
              </w:rPr>
            </w:pPr>
            <w:r>
              <w:rPr>
                <w:sz w:val="20"/>
                <w:szCs w:val="20"/>
                <w:lang w:val="cs"/>
              </w:rPr>
              <w:t xml:space="preserve">.. </w:t>
            </w:r>
            <w:r w:rsidR="00B60766">
              <w:rPr>
                <w:sz w:val="20"/>
                <w:szCs w:val="20"/>
                <w:lang w:val="cs"/>
              </w:rPr>
              <w:t>v</w:t>
            </w:r>
            <w:r w:rsidR="00224B67" w:rsidRPr="009F5331">
              <w:rPr>
                <w:sz w:val="20"/>
                <w:szCs w:val="20"/>
                <w:lang w:val="cs"/>
              </w:rPr>
              <w:t>ěřím, že finanční investice jsou vhodným způsobem k vyjádření vlastních hodnot</w:t>
            </w:r>
          </w:p>
        </w:tc>
        <w:tc>
          <w:tcPr>
            <w:tcW w:w="703" w:type="dxa"/>
          </w:tcPr>
          <w:p w14:paraId="20857B72" w14:textId="5FF12481" w:rsidR="00876641" w:rsidRPr="009F5331" w:rsidRDefault="00876641" w:rsidP="00876641">
            <w:pPr>
              <w:pStyle w:val="-wm-msonormal"/>
              <w:jc w:val="center"/>
              <w:rPr>
                <w:sz w:val="20"/>
                <w:szCs w:val="20"/>
                <w:lang w:val="cs"/>
              </w:rPr>
            </w:pPr>
            <w:r>
              <w:rPr>
                <w:sz w:val="20"/>
                <w:szCs w:val="20"/>
                <w:lang w:val="cs"/>
              </w:rPr>
              <w:t>5</w:t>
            </w:r>
            <w:r w:rsidR="001069DE">
              <w:rPr>
                <w:sz w:val="20"/>
                <w:szCs w:val="20"/>
                <w:lang w:val="cs"/>
              </w:rPr>
              <w:t>7</w:t>
            </w:r>
            <w:r>
              <w:rPr>
                <w:sz w:val="20"/>
                <w:szCs w:val="20"/>
                <w:lang w:val="cs"/>
              </w:rPr>
              <w:t xml:space="preserve"> %</w:t>
            </w:r>
          </w:p>
        </w:tc>
      </w:tr>
      <w:tr w:rsidR="00224B67" w:rsidRPr="009F5331" w14:paraId="51E60754" w14:textId="77777777" w:rsidTr="00F6390D">
        <w:tc>
          <w:tcPr>
            <w:tcW w:w="8359" w:type="dxa"/>
          </w:tcPr>
          <w:p w14:paraId="3B6CAA91" w14:textId="4EE7EB10" w:rsidR="00224B67" w:rsidRPr="009F5331" w:rsidRDefault="00F6390D" w:rsidP="00224B67">
            <w:pPr>
              <w:pStyle w:val="-wm-msonormal"/>
              <w:jc w:val="both"/>
              <w:rPr>
                <w:sz w:val="20"/>
                <w:szCs w:val="20"/>
                <w:lang w:val="cs"/>
              </w:rPr>
            </w:pPr>
            <w:r>
              <w:rPr>
                <w:sz w:val="20"/>
                <w:szCs w:val="20"/>
                <w:lang w:val="cs"/>
              </w:rPr>
              <w:t xml:space="preserve">.. </w:t>
            </w:r>
            <w:r w:rsidR="00224B67" w:rsidRPr="009F5331">
              <w:rPr>
                <w:sz w:val="20"/>
                <w:szCs w:val="20"/>
                <w:lang w:val="cs"/>
              </w:rPr>
              <w:t>věřím, že finanční investice obecně jsou účinné pro změnu světa</w:t>
            </w:r>
          </w:p>
        </w:tc>
        <w:tc>
          <w:tcPr>
            <w:tcW w:w="703" w:type="dxa"/>
          </w:tcPr>
          <w:p w14:paraId="52D85FF4" w14:textId="78197C95" w:rsidR="00224B67" w:rsidRPr="009F5331" w:rsidRDefault="00876641" w:rsidP="00876641">
            <w:pPr>
              <w:pStyle w:val="-wm-msonormal"/>
              <w:jc w:val="center"/>
              <w:rPr>
                <w:sz w:val="20"/>
                <w:szCs w:val="20"/>
                <w:lang w:val="cs"/>
              </w:rPr>
            </w:pPr>
            <w:r>
              <w:rPr>
                <w:sz w:val="20"/>
                <w:szCs w:val="20"/>
                <w:lang w:val="cs"/>
              </w:rPr>
              <w:t>5</w:t>
            </w:r>
            <w:r w:rsidR="001069DE">
              <w:rPr>
                <w:sz w:val="20"/>
                <w:szCs w:val="20"/>
                <w:lang w:val="cs"/>
              </w:rPr>
              <w:t>8</w:t>
            </w:r>
            <w:r>
              <w:rPr>
                <w:sz w:val="20"/>
                <w:szCs w:val="20"/>
                <w:lang w:val="cs"/>
              </w:rPr>
              <w:t xml:space="preserve"> %</w:t>
            </w:r>
          </w:p>
        </w:tc>
      </w:tr>
      <w:tr w:rsidR="00224B67" w:rsidRPr="009F5331" w14:paraId="41C28ABF" w14:textId="77777777" w:rsidTr="00F6390D">
        <w:tc>
          <w:tcPr>
            <w:tcW w:w="8359" w:type="dxa"/>
          </w:tcPr>
          <w:p w14:paraId="036C0CF6" w14:textId="79E9D491" w:rsidR="00224B67" w:rsidRPr="009F5331" w:rsidRDefault="00F6390D" w:rsidP="00224B67">
            <w:pPr>
              <w:pStyle w:val="-wm-msonormal"/>
              <w:jc w:val="both"/>
              <w:rPr>
                <w:sz w:val="20"/>
                <w:szCs w:val="20"/>
                <w:lang w:val="cs"/>
              </w:rPr>
            </w:pPr>
            <w:r>
              <w:rPr>
                <w:sz w:val="20"/>
                <w:szCs w:val="20"/>
                <w:lang w:val="cs"/>
              </w:rPr>
              <w:t xml:space="preserve">.. </w:t>
            </w:r>
            <w:r w:rsidR="004C14F6" w:rsidRPr="009F5331">
              <w:rPr>
                <w:sz w:val="20"/>
                <w:szCs w:val="20"/>
                <w:lang w:val="cs"/>
              </w:rPr>
              <w:t xml:space="preserve">věřím, že </w:t>
            </w:r>
            <w:r w:rsidR="00B60766">
              <w:rPr>
                <w:sz w:val="20"/>
                <w:szCs w:val="20"/>
                <w:lang w:val="cs"/>
              </w:rPr>
              <w:t xml:space="preserve">i </w:t>
            </w:r>
            <w:r w:rsidR="004C14F6" w:rsidRPr="009F5331">
              <w:rPr>
                <w:sz w:val="20"/>
                <w:szCs w:val="20"/>
                <w:lang w:val="cs"/>
              </w:rPr>
              <w:t>moje vlastní finanční investice, bez ohledu na jejich skutečnou výši, mohou přinést změnu</w:t>
            </w:r>
          </w:p>
        </w:tc>
        <w:tc>
          <w:tcPr>
            <w:tcW w:w="703" w:type="dxa"/>
          </w:tcPr>
          <w:p w14:paraId="6339F6EB" w14:textId="444041E3" w:rsidR="00224B67" w:rsidRPr="009F5331" w:rsidRDefault="001069DE" w:rsidP="00876641">
            <w:pPr>
              <w:pStyle w:val="-wm-msonormal"/>
              <w:jc w:val="center"/>
              <w:rPr>
                <w:sz w:val="20"/>
                <w:szCs w:val="20"/>
                <w:lang w:val="cs"/>
              </w:rPr>
            </w:pPr>
            <w:r>
              <w:rPr>
                <w:sz w:val="20"/>
                <w:szCs w:val="20"/>
                <w:lang w:val="cs"/>
              </w:rPr>
              <w:t>52</w:t>
            </w:r>
            <w:r w:rsidR="004377CE">
              <w:rPr>
                <w:sz w:val="20"/>
                <w:szCs w:val="20"/>
                <w:lang w:val="cs"/>
              </w:rPr>
              <w:t xml:space="preserve"> %</w:t>
            </w:r>
          </w:p>
        </w:tc>
      </w:tr>
    </w:tbl>
    <w:p w14:paraId="4D7267E5" w14:textId="77777777" w:rsidR="00ED1017" w:rsidRDefault="00ED1017" w:rsidP="00AF5828">
      <w:pPr>
        <w:pStyle w:val="-wm-msonormal"/>
        <w:jc w:val="both"/>
        <w:rPr>
          <w:lang w:val="cs"/>
        </w:rPr>
      </w:pPr>
    </w:p>
    <w:p w14:paraId="138B4885" w14:textId="77777777" w:rsidR="00781500" w:rsidRDefault="0064039F" w:rsidP="00AF5828">
      <w:pPr>
        <w:pStyle w:val="-wm-msonormal"/>
        <w:jc w:val="both"/>
        <w:rPr>
          <w:lang w:val="cs"/>
        </w:rPr>
      </w:pPr>
      <w:r>
        <w:rPr>
          <w:lang w:val="cs"/>
        </w:rPr>
        <w:t xml:space="preserve">A ačkoli bez ohledu na </w:t>
      </w:r>
      <w:r w:rsidR="00BD7693">
        <w:rPr>
          <w:lang w:val="cs"/>
        </w:rPr>
        <w:t xml:space="preserve">sledovaný finanční cíl </w:t>
      </w:r>
      <w:r w:rsidR="0055613A">
        <w:rPr>
          <w:lang w:val="cs"/>
        </w:rPr>
        <w:t xml:space="preserve">nejvíce lidí </w:t>
      </w:r>
      <w:r w:rsidR="00D01441">
        <w:rPr>
          <w:lang w:val="cs"/>
        </w:rPr>
        <w:t xml:space="preserve">dává prioritu </w:t>
      </w:r>
      <w:r w:rsidR="00E6629D">
        <w:rPr>
          <w:lang w:val="cs"/>
        </w:rPr>
        <w:t xml:space="preserve">jednoznačně </w:t>
      </w:r>
      <w:r w:rsidR="00D01441">
        <w:rPr>
          <w:lang w:val="cs"/>
        </w:rPr>
        <w:t>tomu</w:t>
      </w:r>
      <w:r w:rsidR="00DF3FE7">
        <w:rPr>
          <w:lang w:val="cs"/>
        </w:rPr>
        <w:t>,</w:t>
      </w:r>
      <w:r w:rsidR="0055613A">
        <w:rPr>
          <w:lang w:val="cs"/>
        </w:rPr>
        <w:t xml:space="preserve"> </w:t>
      </w:r>
      <w:r w:rsidR="00DF3FE7" w:rsidRPr="00DF3FE7">
        <w:rPr>
          <w:lang w:val="cs"/>
        </w:rPr>
        <w:t xml:space="preserve">aby </w:t>
      </w:r>
      <w:r w:rsidR="00DF3FE7">
        <w:rPr>
          <w:lang w:val="cs"/>
        </w:rPr>
        <w:t>jejich</w:t>
      </w:r>
      <w:r w:rsidR="00DF3FE7" w:rsidRPr="00DF3FE7">
        <w:rPr>
          <w:lang w:val="cs"/>
        </w:rPr>
        <w:t xml:space="preserve"> úspory dosáhly maximálního možného výnosu při míře rizika, kterou akceptuj</w:t>
      </w:r>
      <w:r w:rsidR="00DF3FE7">
        <w:rPr>
          <w:lang w:val="cs"/>
        </w:rPr>
        <w:t>í (</w:t>
      </w:r>
      <w:r w:rsidR="00D01441">
        <w:rPr>
          <w:lang w:val="cs"/>
        </w:rPr>
        <w:t>42,3 %)</w:t>
      </w:r>
      <w:r w:rsidR="004C2D26">
        <w:rPr>
          <w:lang w:val="cs"/>
        </w:rPr>
        <w:t xml:space="preserve">, velká část z nich </w:t>
      </w:r>
      <w:r w:rsidR="00B34980">
        <w:rPr>
          <w:lang w:val="cs"/>
        </w:rPr>
        <w:t xml:space="preserve">si přeje </w:t>
      </w:r>
      <w:r w:rsidR="00B34980" w:rsidRPr="00B34980">
        <w:rPr>
          <w:lang w:val="cs"/>
        </w:rPr>
        <w:t xml:space="preserve">sladit své úspory </w:t>
      </w:r>
      <w:r w:rsidR="00167D4B">
        <w:rPr>
          <w:lang w:val="cs"/>
        </w:rPr>
        <w:t xml:space="preserve">právě </w:t>
      </w:r>
      <w:r w:rsidR="00B34980" w:rsidRPr="00B34980">
        <w:rPr>
          <w:lang w:val="cs"/>
        </w:rPr>
        <w:t>s</w:t>
      </w:r>
      <w:r w:rsidR="00167D4B">
        <w:rPr>
          <w:lang w:val="cs"/>
        </w:rPr>
        <w:t>e svými</w:t>
      </w:r>
      <w:r w:rsidR="00B34980" w:rsidRPr="00B34980">
        <w:rPr>
          <w:lang w:val="cs"/>
        </w:rPr>
        <w:t xml:space="preserve"> osobními hodnotami</w:t>
      </w:r>
      <w:r w:rsidR="00B34980">
        <w:rPr>
          <w:lang w:val="cs"/>
        </w:rPr>
        <w:t xml:space="preserve"> (</w:t>
      </w:r>
      <w:r w:rsidR="000005AE">
        <w:rPr>
          <w:lang w:val="cs"/>
        </w:rPr>
        <w:t xml:space="preserve">36,3 %) a významná část </w:t>
      </w:r>
      <w:r w:rsidR="00906CAA">
        <w:rPr>
          <w:lang w:val="cs"/>
        </w:rPr>
        <w:t xml:space="preserve">z nich je </w:t>
      </w:r>
      <w:r w:rsidR="00FF6BD9">
        <w:rPr>
          <w:lang w:val="cs"/>
        </w:rPr>
        <w:t xml:space="preserve">pak </w:t>
      </w:r>
      <w:r w:rsidR="00906CAA">
        <w:rPr>
          <w:lang w:val="cs"/>
        </w:rPr>
        <w:t xml:space="preserve">připravena </w:t>
      </w:r>
      <w:r w:rsidR="00906CAA" w:rsidRPr="00906CAA">
        <w:rPr>
          <w:lang w:val="cs"/>
        </w:rPr>
        <w:t>použít</w:t>
      </w:r>
      <w:r w:rsidR="00FF6BD9">
        <w:rPr>
          <w:lang w:val="cs"/>
        </w:rPr>
        <w:t xml:space="preserve"> </w:t>
      </w:r>
      <w:r w:rsidR="00906CAA" w:rsidRPr="00906CAA">
        <w:rPr>
          <w:lang w:val="cs"/>
        </w:rPr>
        <w:t xml:space="preserve">své úspory </w:t>
      </w:r>
      <w:r w:rsidR="00992CDF">
        <w:rPr>
          <w:lang w:val="cs"/>
        </w:rPr>
        <w:t xml:space="preserve">i </w:t>
      </w:r>
      <w:r w:rsidR="00906CAA" w:rsidRPr="00906CAA">
        <w:rPr>
          <w:lang w:val="cs"/>
        </w:rPr>
        <w:t>k jednoznačně pozitivnímu dopadu na společnost nebo životní prostředí</w:t>
      </w:r>
      <w:r w:rsidR="00FF6BD9">
        <w:rPr>
          <w:lang w:val="cs"/>
        </w:rPr>
        <w:t xml:space="preserve"> (</w:t>
      </w:r>
      <w:r w:rsidR="008059DA">
        <w:rPr>
          <w:lang w:val="cs"/>
        </w:rPr>
        <w:t>21,4 %)</w:t>
      </w:r>
      <w:r w:rsidR="00781500">
        <w:rPr>
          <w:lang w:val="cs"/>
        </w:rPr>
        <w:t>.</w:t>
      </w:r>
    </w:p>
    <w:p w14:paraId="363AD0DA" w14:textId="5A728A89" w:rsidR="00A231AB" w:rsidRDefault="009C6BCD" w:rsidP="00AF5828">
      <w:pPr>
        <w:pStyle w:val="-wm-msonormal"/>
        <w:jc w:val="both"/>
        <w:rPr>
          <w:lang w:val="cs"/>
        </w:rPr>
      </w:pPr>
      <w:r>
        <w:rPr>
          <w:lang w:val="cs"/>
        </w:rPr>
        <w:t>TOP 5</w:t>
      </w:r>
      <w:r w:rsidRPr="009C6BCD">
        <w:t xml:space="preserve"> </w:t>
      </w:r>
      <w:r w:rsidR="0003575B">
        <w:t>z celkem 30</w:t>
      </w:r>
      <w:r w:rsidR="00781500">
        <w:t xml:space="preserve"> </w:t>
      </w:r>
      <w:r w:rsidRPr="009C6BCD">
        <w:rPr>
          <w:lang w:val="cs"/>
        </w:rPr>
        <w:t>témat udržitelnosti</w:t>
      </w:r>
      <w:r>
        <w:rPr>
          <w:lang w:val="cs"/>
        </w:rPr>
        <w:t xml:space="preserve">, které by </w:t>
      </w:r>
      <w:r w:rsidR="00781500">
        <w:rPr>
          <w:lang w:val="cs"/>
        </w:rPr>
        <w:t xml:space="preserve">si </w:t>
      </w:r>
      <w:r w:rsidR="004E42B8">
        <w:rPr>
          <w:lang w:val="cs"/>
        </w:rPr>
        <w:t>lidé</w:t>
      </w:r>
      <w:r w:rsidR="004E42B8" w:rsidRPr="004E42B8">
        <w:rPr>
          <w:lang w:val="cs"/>
        </w:rPr>
        <w:t xml:space="preserve"> </w:t>
      </w:r>
      <w:r w:rsidR="004E42B8">
        <w:rPr>
          <w:lang w:val="cs"/>
        </w:rPr>
        <w:t>přitom</w:t>
      </w:r>
      <w:r w:rsidRPr="009C6BCD">
        <w:rPr>
          <w:lang w:val="cs"/>
        </w:rPr>
        <w:t xml:space="preserve"> přáli, aby se nejvíce promítl</w:t>
      </w:r>
      <w:r w:rsidR="004E42B8">
        <w:rPr>
          <w:lang w:val="cs"/>
        </w:rPr>
        <w:t>y</w:t>
      </w:r>
      <w:r w:rsidRPr="009C6BCD">
        <w:rPr>
          <w:lang w:val="cs"/>
        </w:rPr>
        <w:t xml:space="preserve"> do alokace </w:t>
      </w:r>
      <w:r w:rsidR="004E42B8">
        <w:rPr>
          <w:lang w:val="cs"/>
        </w:rPr>
        <w:t>jejich</w:t>
      </w:r>
      <w:r w:rsidRPr="009C6BCD">
        <w:rPr>
          <w:lang w:val="cs"/>
        </w:rPr>
        <w:t xml:space="preserve"> úspor</w:t>
      </w:r>
      <w:r w:rsidR="004E42B8">
        <w:rPr>
          <w:lang w:val="cs"/>
        </w:rPr>
        <w:t>, jsou:</w:t>
      </w:r>
    </w:p>
    <w:p w14:paraId="0812B232" w14:textId="77777777" w:rsidR="00220FF4" w:rsidRDefault="00170C06" w:rsidP="003A02EC">
      <w:pPr>
        <w:pStyle w:val="-wm-msonormal"/>
        <w:numPr>
          <w:ilvl w:val="0"/>
          <w:numId w:val="1"/>
        </w:numPr>
        <w:ind w:left="426" w:hanging="426"/>
        <w:jc w:val="both"/>
        <w:rPr>
          <w:lang w:val="cs"/>
        </w:rPr>
      </w:pPr>
      <w:r w:rsidRPr="00220FF4">
        <w:rPr>
          <w:lang w:val="cs"/>
        </w:rPr>
        <w:t>Čistá voda</w:t>
      </w:r>
    </w:p>
    <w:p w14:paraId="01D094C2" w14:textId="77777777" w:rsidR="00220FF4" w:rsidRDefault="00E96ACD" w:rsidP="003A02EC">
      <w:pPr>
        <w:pStyle w:val="-wm-msonormal"/>
        <w:numPr>
          <w:ilvl w:val="0"/>
          <w:numId w:val="1"/>
        </w:numPr>
        <w:ind w:left="426" w:hanging="426"/>
        <w:jc w:val="both"/>
        <w:rPr>
          <w:lang w:val="cs"/>
        </w:rPr>
      </w:pPr>
      <w:r w:rsidRPr="00220FF4">
        <w:rPr>
          <w:lang w:val="cs"/>
        </w:rPr>
        <w:t>Zdraví a bezpečnost</w:t>
      </w:r>
    </w:p>
    <w:p w14:paraId="70A8293F" w14:textId="77777777" w:rsidR="00220FF4" w:rsidRDefault="00E96ACD" w:rsidP="003A02EC">
      <w:pPr>
        <w:pStyle w:val="-wm-msonormal"/>
        <w:numPr>
          <w:ilvl w:val="0"/>
          <w:numId w:val="1"/>
        </w:numPr>
        <w:ind w:left="426" w:hanging="426"/>
        <w:jc w:val="both"/>
        <w:rPr>
          <w:lang w:val="cs"/>
        </w:rPr>
      </w:pPr>
      <w:r w:rsidRPr="00220FF4">
        <w:rPr>
          <w:lang w:val="cs"/>
        </w:rPr>
        <w:t>Vzdělání</w:t>
      </w:r>
    </w:p>
    <w:p w14:paraId="77E8C67F" w14:textId="77777777" w:rsidR="00220FF4" w:rsidRDefault="00C36866" w:rsidP="003A02EC">
      <w:pPr>
        <w:pStyle w:val="-wm-msonormal"/>
        <w:numPr>
          <w:ilvl w:val="0"/>
          <w:numId w:val="1"/>
        </w:numPr>
        <w:ind w:left="426" w:hanging="426"/>
        <w:jc w:val="both"/>
        <w:rPr>
          <w:lang w:val="cs"/>
        </w:rPr>
      </w:pPr>
      <w:r w:rsidRPr="00220FF4">
        <w:rPr>
          <w:lang w:val="cs"/>
        </w:rPr>
        <w:t xml:space="preserve">Přírodní zdroje a </w:t>
      </w:r>
    </w:p>
    <w:p w14:paraId="136A5CB5" w14:textId="7E43538A" w:rsidR="00ED1017" w:rsidRPr="00220FF4" w:rsidRDefault="00C36866" w:rsidP="003A02EC">
      <w:pPr>
        <w:pStyle w:val="-wm-msonormal"/>
        <w:numPr>
          <w:ilvl w:val="0"/>
          <w:numId w:val="1"/>
        </w:numPr>
        <w:ind w:left="426" w:hanging="426"/>
        <w:jc w:val="both"/>
        <w:rPr>
          <w:lang w:val="cs"/>
        </w:rPr>
      </w:pPr>
      <w:r w:rsidRPr="00220FF4">
        <w:rPr>
          <w:lang w:val="cs"/>
        </w:rPr>
        <w:t>Obnovitelná energie a energetická účinnost</w:t>
      </w:r>
    </w:p>
    <w:p w14:paraId="159D1B0B" w14:textId="71587F1C" w:rsidR="00392123" w:rsidRDefault="00802E16" w:rsidP="00AF5828">
      <w:pPr>
        <w:jc w:val="both"/>
      </w:pPr>
      <w:r>
        <w:t>To, ž</w:t>
      </w:r>
      <w:r w:rsidR="0094391E" w:rsidRPr="0094391E">
        <w:t>e zavádění faktorů udržitelnosti do investiční strategie</w:t>
      </w:r>
      <w:r w:rsidR="00241222">
        <w:t xml:space="preserve"> </w:t>
      </w:r>
      <w:r w:rsidR="00241222" w:rsidRPr="0094391E">
        <w:t>obecně</w:t>
      </w:r>
      <w:r w:rsidR="00241222" w:rsidRPr="00241222">
        <w:t xml:space="preserve"> </w:t>
      </w:r>
      <w:r w:rsidR="00D86BDB" w:rsidRPr="00241222">
        <w:t xml:space="preserve">vede </w:t>
      </w:r>
      <w:r w:rsidR="00241222" w:rsidRPr="00241222">
        <w:t>ke zlepšování finanční návratnosti</w:t>
      </w:r>
      <w:r w:rsidR="0094391E" w:rsidRPr="0094391E">
        <w:t xml:space="preserve"> </w:t>
      </w:r>
      <w:r w:rsidR="003509CA">
        <w:t xml:space="preserve">si </w:t>
      </w:r>
      <w:r w:rsidR="00D86BDB">
        <w:t xml:space="preserve">myslí </w:t>
      </w:r>
      <w:r>
        <w:t xml:space="preserve">ale </w:t>
      </w:r>
      <w:r w:rsidR="00D86BDB">
        <w:t xml:space="preserve">jen 32 % </w:t>
      </w:r>
      <w:r w:rsidR="00843CB6">
        <w:t xml:space="preserve">spotřebitelů, 19 % si naopak myslí, že </w:t>
      </w:r>
      <w:r w:rsidR="00843CB6" w:rsidRPr="0094391E">
        <w:t>zavádění faktorů udržitelnosti do investiční strategie</w:t>
      </w:r>
      <w:r w:rsidR="00843CB6">
        <w:t xml:space="preserve"> </w:t>
      </w:r>
      <w:r w:rsidR="00843CB6" w:rsidRPr="00241222">
        <w:t xml:space="preserve">vede </w:t>
      </w:r>
      <w:r w:rsidR="006A785C" w:rsidRPr="006A785C">
        <w:t>ke snižování finančních výnosů</w:t>
      </w:r>
      <w:r w:rsidR="006A785C">
        <w:t xml:space="preserve"> a </w:t>
      </w:r>
      <w:r w:rsidR="00BA4BFB">
        <w:t xml:space="preserve">17 % si myslí, že </w:t>
      </w:r>
      <w:r w:rsidR="00BA4BFB" w:rsidRPr="0094391E">
        <w:t>zavádění faktorů udržitelnosti do investiční strategie</w:t>
      </w:r>
      <w:r w:rsidR="00BA4BFB">
        <w:t xml:space="preserve"> </w:t>
      </w:r>
      <w:r w:rsidR="00BA4BFB" w:rsidRPr="00BA4BFB">
        <w:t>nemá žádný významný dopad na výnosy</w:t>
      </w:r>
      <w:r w:rsidR="00BA4BFB">
        <w:t>.</w:t>
      </w:r>
      <w:r w:rsidR="00A507BE">
        <w:t xml:space="preserve"> 31 % spotřebitelů na to nemá žádný vyhraněný názor.</w:t>
      </w:r>
    </w:p>
    <w:p w14:paraId="4C4D399E" w14:textId="7C4D501B" w:rsidR="00802E16" w:rsidRDefault="00802E16" w:rsidP="00802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A pokud by lidé </w:t>
      </w:r>
      <w:r w:rsidR="00840F73">
        <w:t xml:space="preserve">v daném čase </w:t>
      </w:r>
      <w:r>
        <w:t xml:space="preserve">vlastnili diverzifikované finanční portfolio složené z dluhopisů a akcií, jehož výnos činí zpravidla 4 % ročně, </w:t>
      </w:r>
      <w:r w:rsidRPr="00676CAB">
        <w:t xml:space="preserve">minimální roční výnos, který by přijali za své úspory, pokud by si byli jisti, že </w:t>
      </w:r>
      <w:r>
        <w:t>jejich</w:t>
      </w:r>
      <w:r w:rsidRPr="00676CAB">
        <w:t xml:space="preserve"> cíle udržitelnosti budou </w:t>
      </w:r>
      <w:r>
        <w:t>beze zbytku</w:t>
      </w:r>
      <w:r w:rsidRPr="00676CAB">
        <w:t xml:space="preserve"> splněny</w:t>
      </w:r>
      <w:r>
        <w:t xml:space="preserve">, činí v průměru 0,87 %. </w:t>
      </w:r>
    </w:p>
    <w:p w14:paraId="02F83AA9" w14:textId="77906E20" w:rsidR="00BE7542" w:rsidRDefault="00E33FBA" w:rsidP="00AF5828">
      <w:pPr>
        <w:jc w:val="both"/>
      </w:pPr>
      <w:r>
        <w:rPr>
          <w:noProof/>
        </w:rPr>
        <w:drawing>
          <wp:inline distT="0" distB="0" distL="0" distR="0" wp14:anchorId="7ADDC918" wp14:editId="56C9ED2A">
            <wp:extent cx="5797550" cy="3362325"/>
            <wp:effectExtent l="0" t="0" r="0" b="0"/>
            <wp:docPr id="19" name="Graf 19">
              <a:extLst xmlns:a="http://schemas.openxmlformats.org/drawingml/2006/main">
                <a:ext uri="{FF2B5EF4-FFF2-40B4-BE49-F238E27FC236}">
                  <a16:creationId xmlns:a16="http://schemas.microsoft.com/office/drawing/2014/main" id="{5773136B-3627-4DF1-9E9D-73C48BF1B4C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7A6916E2" w14:textId="440E454A" w:rsidR="00BE7542" w:rsidRDefault="00722025" w:rsidP="00AF5828">
      <w:pPr>
        <w:jc w:val="both"/>
      </w:pPr>
      <w:r>
        <w:t>Otázk</w:t>
      </w:r>
      <w:r w:rsidR="008C33CD">
        <w:t xml:space="preserve">ou jsou </w:t>
      </w:r>
      <w:r w:rsidR="00F63A16">
        <w:t xml:space="preserve">pak </w:t>
      </w:r>
      <w:r w:rsidR="008C33CD">
        <w:t xml:space="preserve">pro spotřebitele i alternativy </w:t>
      </w:r>
      <w:r w:rsidR="00C20997">
        <w:t xml:space="preserve">ke </w:t>
      </w:r>
      <w:r w:rsidR="00C20997" w:rsidRPr="00C20997">
        <w:t xml:space="preserve">konvenčním investicím, které mají </w:t>
      </w:r>
      <w:r w:rsidR="00F63A16">
        <w:t xml:space="preserve">v zásadě </w:t>
      </w:r>
      <w:r w:rsidR="00C20997" w:rsidRPr="00C20997">
        <w:t xml:space="preserve">stejné finanční charakteristiky (očekávaná návratnost, riziko a likvidita), ale jsou nezávislými </w:t>
      </w:r>
      <w:r w:rsidR="001E18D3">
        <w:t>odborníky</w:t>
      </w:r>
      <w:r w:rsidR="00C20997" w:rsidRPr="00C20997">
        <w:t xml:space="preserve"> považovány za mající pozitivnější dopad tím, že přispívají k financování </w:t>
      </w:r>
      <w:r w:rsidR="00260096">
        <w:t>„</w:t>
      </w:r>
      <w:r w:rsidR="00C20997" w:rsidRPr="00C20997">
        <w:t>přechodu na zelenou energii</w:t>
      </w:r>
      <w:r w:rsidR="001E18D3">
        <w:t>“</w:t>
      </w:r>
      <w:r w:rsidR="00C20997" w:rsidRPr="00C20997">
        <w:t>.</w:t>
      </w:r>
    </w:p>
    <w:p w14:paraId="1864D112" w14:textId="77777777" w:rsidR="001E18D3" w:rsidRDefault="001E18D3" w:rsidP="00AF5828">
      <w:pPr>
        <w:jc w:val="both"/>
      </w:pPr>
    </w:p>
    <w:p w14:paraId="2652E6EF" w14:textId="218B6B88" w:rsidR="00EF500A" w:rsidRDefault="00EF500A" w:rsidP="00AF5828">
      <w:pPr>
        <w:jc w:val="both"/>
      </w:pPr>
      <w:r>
        <w:t xml:space="preserve">Pokud by </w:t>
      </w:r>
      <w:r w:rsidR="001F53FF">
        <w:t xml:space="preserve">jim </w:t>
      </w:r>
      <w:r>
        <w:t xml:space="preserve">jejich banka </w:t>
      </w:r>
      <w:r w:rsidR="0019708E" w:rsidRPr="001F53FF">
        <w:t>namísto stávajících produktů</w:t>
      </w:r>
      <w:r w:rsidR="008B3079">
        <w:t xml:space="preserve"> (</w:t>
      </w:r>
      <w:r w:rsidR="0019708E" w:rsidRPr="001F53FF">
        <w:t xml:space="preserve">které již </w:t>
      </w:r>
      <w:r w:rsidR="0019708E">
        <w:t>využívají</w:t>
      </w:r>
      <w:r w:rsidR="008B3079">
        <w:t>)</w:t>
      </w:r>
      <w:r w:rsidR="00F23A8C">
        <w:t xml:space="preserve"> nabídla </w:t>
      </w:r>
      <w:r w:rsidR="00F23A8C" w:rsidRPr="001F53FF">
        <w:t>následující možnost</w:t>
      </w:r>
      <w:r w:rsidR="00F23A8C">
        <w:t>i</w:t>
      </w:r>
      <w:r w:rsidR="00D93FA7">
        <w:t xml:space="preserve"> </w:t>
      </w:r>
      <w:r w:rsidR="00305D24">
        <w:t>(</w:t>
      </w:r>
      <w:r w:rsidR="00D93FA7" w:rsidRPr="00E84D03">
        <w:rPr>
          <w:b/>
          <w:bCs/>
        </w:rPr>
        <w:t xml:space="preserve">1 </w:t>
      </w:r>
      <w:r w:rsidR="00305D24" w:rsidRPr="00E84D03">
        <w:rPr>
          <w:b/>
          <w:bCs/>
        </w:rPr>
        <w:t>až</w:t>
      </w:r>
      <w:r w:rsidR="00D93FA7" w:rsidRPr="00E84D03">
        <w:rPr>
          <w:b/>
          <w:bCs/>
        </w:rPr>
        <w:t xml:space="preserve"> 4</w:t>
      </w:r>
      <w:r w:rsidR="00305D24">
        <w:t>)</w:t>
      </w:r>
      <w:r w:rsidR="00F23A8C">
        <w:t xml:space="preserve">, za velmi zajímavou nebo docela zajímavou alternativu </w:t>
      </w:r>
      <w:r w:rsidR="007C1E52">
        <w:t xml:space="preserve">pro </w:t>
      </w:r>
      <w:r w:rsidR="007C1E52" w:rsidRPr="001F53FF">
        <w:t xml:space="preserve">využití </w:t>
      </w:r>
      <w:r w:rsidR="00D93FA7">
        <w:t xml:space="preserve">jejich </w:t>
      </w:r>
      <w:r w:rsidR="007C1E52" w:rsidRPr="001F53FF">
        <w:t>budoucí</w:t>
      </w:r>
      <w:r w:rsidR="007C1E52">
        <w:t>ch</w:t>
      </w:r>
      <w:r w:rsidR="007C1E52" w:rsidRPr="001F53FF">
        <w:t xml:space="preserve"> úspor </w:t>
      </w:r>
      <w:r w:rsidR="00F23A8C">
        <w:t xml:space="preserve">by to považovalo </w:t>
      </w:r>
      <w:r w:rsidR="00C20331">
        <w:t>57,8 % spotřebitelů</w:t>
      </w:r>
      <w:r w:rsidR="007C1E52">
        <w:t>.</w:t>
      </w:r>
    </w:p>
    <w:p w14:paraId="2D2F560B" w14:textId="0503F1A9" w:rsidR="008D001E" w:rsidRDefault="008D001E" w:rsidP="00AF5828">
      <w:pPr>
        <w:jc w:val="both"/>
      </w:pPr>
      <w:r w:rsidRPr="008D001E">
        <w:rPr>
          <w:b/>
          <w:bCs/>
        </w:rPr>
        <w:t>1</w:t>
      </w:r>
      <w:r>
        <w:t xml:space="preserve"> = </w:t>
      </w:r>
      <w:r w:rsidR="00F640AD" w:rsidRPr="00F640AD">
        <w:t>Účet pro zelené spoření jako alternativa ke klasickému spořicímu účtu. Vklady na zeleném spořicím účtu banka používá k poskytování zelených úvěrů domácnostem a firmám, což jsou úvěry, které financují projekty s jasným ekologickým přínosem (</w:t>
      </w:r>
      <w:r w:rsidR="007D657D">
        <w:t xml:space="preserve">jako </w:t>
      </w:r>
      <w:r w:rsidR="00EB2B10">
        <w:t>např.</w:t>
      </w:r>
      <w:r w:rsidR="00F640AD" w:rsidRPr="00F640AD">
        <w:t xml:space="preserve"> úvěry na nákup energeticky účinných zařízení nebo na rozvoj malých projektů obnovitelné energie).</w:t>
      </w:r>
    </w:p>
    <w:p w14:paraId="3363F133" w14:textId="30C33985" w:rsidR="00EB2B10" w:rsidRDefault="00EB2B10" w:rsidP="00AF5828">
      <w:pPr>
        <w:jc w:val="both"/>
      </w:pPr>
      <w:r w:rsidRPr="00EB2B10">
        <w:rPr>
          <w:b/>
          <w:bCs/>
        </w:rPr>
        <w:t>2</w:t>
      </w:r>
      <w:r>
        <w:t xml:space="preserve"> = </w:t>
      </w:r>
      <w:r w:rsidR="00510F8F" w:rsidRPr="00510F8F">
        <w:t>Fond zelených dluhopisů jako alternativa ke klasickému dluhopisovému fondu. V obou případech fondy nakupují dluhopisy vydané velkými evropskými společnostmi ze všech sektorů. Jediný rozdíl je v tom, že fond zelených dluhopisů se specializuje na nákup „zelených dluhopisů“, které specificky financují ekologické projekty, které jsou ověřeny externími auditory</w:t>
      </w:r>
      <w:r w:rsidR="00D53EAB">
        <w:t xml:space="preserve"> (tj. jako jsou </w:t>
      </w:r>
      <w:r w:rsidR="00510F8F" w:rsidRPr="00510F8F">
        <w:t>zejména investice do energetické účinnosti a obnovitelných zdrojů energie</w:t>
      </w:r>
      <w:r w:rsidR="007F7671">
        <w:t>)</w:t>
      </w:r>
      <w:r w:rsidR="00510F8F" w:rsidRPr="00510F8F">
        <w:t>.</w:t>
      </w:r>
    </w:p>
    <w:p w14:paraId="44F13A3D" w14:textId="7EE2C419" w:rsidR="007F7671" w:rsidRDefault="007F7671" w:rsidP="00AF5828">
      <w:pPr>
        <w:jc w:val="both"/>
      </w:pPr>
      <w:r w:rsidRPr="007F7671">
        <w:rPr>
          <w:b/>
          <w:bCs/>
        </w:rPr>
        <w:t>3</w:t>
      </w:r>
      <w:r>
        <w:t xml:space="preserve"> = </w:t>
      </w:r>
      <w:r w:rsidR="00D91DE1" w:rsidRPr="00D91DE1">
        <w:t>Nízkouhlíkový akciový fond jako alternativa ke klasickému akciovému fondu. V obou případech fondy nakupují akcie velkých evropských společností ze všech sektorů. Jediný rozdíl je v tom, že nízkouhlíkový akciový fond vybírá společnosti, které jsou v souladu s cílem udržet nárůst globální teploty pod 2 °C. V praxi fond vybírá společnosti, které mají nejnižší uhlíkovou intenzitu ve svých odvětvích, a klade zvláštní důraz na společnosti poskytující nízkouhlíková řešení, a to zejména v oblasti obnovitelné energie a energetické účinnosti.</w:t>
      </w:r>
    </w:p>
    <w:p w14:paraId="282A46CC" w14:textId="4A2E1A42" w:rsidR="00D91DE1" w:rsidRDefault="00D91DE1" w:rsidP="00AF5828">
      <w:pPr>
        <w:jc w:val="both"/>
      </w:pPr>
      <w:r w:rsidRPr="00D91DE1">
        <w:rPr>
          <w:b/>
          <w:bCs/>
        </w:rPr>
        <w:t>4</w:t>
      </w:r>
      <w:r>
        <w:t xml:space="preserve"> = </w:t>
      </w:r>
      <w:r w:rsidR="001C3BDA" w:rsidRPr="001C3BDA">
        <w:t>Akciový fond zelené energie jako nový sektorový fond. Fond nakupuje pouze akcie kotovaných evropských společností působících v sektorech obnovitelné energie a energetické účinnosti.</w:t>
      </w:r>
    </w:p>
    <w:p w14:paraId="10A3BE05" w14:textId="37317E12" w:rsidR="00140FBF" w:rsidRDefault="00220FF4" w:rsidP="00AF5828">
      <w:pPr>
        <w:jc w:val="both"/>
      </w:pPr>
      <w:r>
        <w:rPr>
          <w:noProof/>
        </w:rPr>
        <w:drawing>
          <wp:inline distT="0" distB="0" distL="0" distR="0" wp14:anchorId="00BE4319" wp14:editId="17D6D007">
            <wp:extent cx="5772150" cy="2009775"/>
            <wp:effectExtent l="0" t="0" r="0" b="0"/>
            <wp:docPr id="20" name="Graf 20">
              <a:extLst xmlns:a="http://schemas.openxmlformats.org/drawingml/2006/main">
                <a:ext uri="{FF2B5EF4-FFF2-40B4-BE49-F238E27FC236}">
                  <a16:creationId xmlns:a16="http://schemas.microsoft.com/office/drawing/2014/main" id="{64AF1E02-5B74-4D79-80D1-873D073DF61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1472458F" w14:textId="2A2889E9" w:rsidR="003E58BE" w:rsidRDefault="00421A05" w:rsidP="00AF5828">
      <w:pPr>
        <w:jc w:val="both"/>
      </w:pPr>
      <w:r>
        <w:t xml:space="preserve">A </w:t>
      </w:r>
      <w:r w:rsidR="002A700C">
        <w:t>lidé</w:t>
      </w:r>
      <w:r>
        <w:t xml:space="preserve"> </w:t>
      </w:r>
      <w:r w:rsidR="005428A1">
        <w:t xml:space="preserve">vyjádřili </w:t>
      </w:r>
      <w:r w:rsidR="006A0575">
        <w:t xml:space="preserve">rovněž </w:t>
      </w:r>
      <w:r w:rsidR="00050454">
        <w:t xml:space="preserve">určitý </w:t>
      </w:r>
      <w:r w:rsidRPr="00421A05">
        <w:t xml:space="preserve">zájem část svých budoucích úspor </w:t>
      </w:r>
      <w:r w:rsidR="005428A1" w:rsidRPr="00421A05">
        <w:t xml:space="preserve">investovat </w:t>
      </w:r>
      <w:r w:rsidRPr="00421A05">
        <w:t xml:space="preserve">do akcií nebo půjček malým společnostem v odvětví obnovitelné energie nebo energetické účinnosti </w:t>
      </w:r>
      <w:r w:rsidR="002F5EE1">
        <w:t xml:space="preserve">i </w:t>
      </w:r>
      <w:r w:rsidRPr="00421A05">
        <w:t>prostřednictvím platforem crowdfundingu (</w:t>
      </w:r>
      <w:r w:rsidR="00050454">
        <w:t xml:space="preserve">tj. </w:t>
      </w:r>
      <w:r w:rsidR="007F6873">
        <w:t>na</w:t>
      </w:r>
      <w:r w:rsidRPr="00421A05">
        <w:t>místo invest</w:t>
      </w:r>
      <w:r w:rsidR="007F6873">
        <w:t>ic</w:t>
      </w:r>
      <w:r w:rsidRPr="00421A05">
        <w:t xml:space="preserve"> do větších společností prostřednictvím akciového trhu)</w:t>
      </w:r>
      <w:r w:rsidR="00050454">
        <w:t>.</w:t>
      </w:r>
    </w:p>
    <w:p w14:paraId="68C6BD3A" w14:textId="4B546696" w:rsidR="001C3BDA" w:rsidRDefault="009C7ABF" w:rsidP="00715A42">
      <w:pPr>
        <w:jc w:val="center"/>
      </w:pPr>
      <w:r>
        <w:rPr>
          <w:noProof/>
        </w:rPr>
        <w:drawing>
          <wp:inline distT="0" distB="0" distL="0" distR="0" wp14:anchorId="7FF065A0" wp14:editId="3BDB5F3B">
            <wp:extent cx="5597525" cy="1343025"/>
            <wp:effectExtent l="0" t="0" r="3175" b="0"/>
            <wp:docPr id="21" name="Graf 21">
              <a:extLst xmlns:a="http://schemas.openxmlformats.org/drawingml/2006/main">
                <a:ext uri="{FF2B5EF4-FFF2-40B4-BE49-F238E27FC236}">
                  <a16:creationId xmlns:a16="http://schemas.microsoft.com/office/drawing/2014/main" id="{18410532-0E84-4C5B-BF31-70BCD3D86D9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3BC0D39E" w14:textId="77777777" w:rsidR="007F6873" w:rsidRDefault="007F6873" w:rsidP="00AF5828">
      <w:pPr>
        <w:jc w:val="both"/>
      </w:pPr>
    </w:p>
    <w:p w14:paraId="6F12EA0B" w14:textId="34427A94" w:rsidR="00851F77" w:rsidRDefault="00447846" w:rsidP="00AF5828">
      <w:pPr>
        <w:jc w:val="both"/>
      </w:pPr>
      <w:r>
        <w:t xml:space="preserve">Pokud jde specificky </w:t>
      </w:r>
      <w:r w:rsidR="00851F77">
        <w:t xml:space="preserve">o </w:t>
      </w:r>
      <w:r w:rsidR="00851F77" w:rsidRPr="00447846">
        <w:t>financování projektů obnovitelné energie nebo energetické účinnosti</w:t>
      </w:r>
      <w:r w:rsidR="00E223C8">
        <w:t xml:space="preserve">, </w:t>
      </w:r>
      <w:r w:rsidR="00CF517D">
        <w:t xml:space="preserve">a to </w:t>
      </w:r>
      <w:r w:rsidR="00E223C8">
        <w:t>b</w:t>
      </w:r>
      <w:r w:rsidR="00E223C8" w:rsidRPr="00447846">
        <w:t>ez ohledu na finanční charakteristiky (</w:t>
      </w:r>
      <w:r w:rsidR="00CF517D">
        <w:t xml:space="preserve">tj. </w:t>
      </w:r>
      <w:r w:rsidR="00590DFB">
        <w:t xml:space="preserve">bez ohledu </w:t>
      </w:r>
      <w:r w:rsidR="00E223C8" w:rsidRPr="00447846">
        <w:t>očekávan</w:t>
      </w:r>
      <w:r w:rsidR="00CF517D">
        <w:t>ou</w:t>
      </w:r>
      <w:r w:rsidR="00E223C8" w:rsidRPr="00447846">
        <w:t xml:space="preserve"> návratnost, riziko a likvidit</w:t>
      </w:r>
      <w:r w:rsidR="00CF517D">
        <w:t>u</w:t>
      </w:r>
      <w:r w:rsidR="00E223C8" w:rsidRPr="00447846">
        <w:t xml:space="preserve">), </w:t>
      </w:r>
      <w:r w:rsidR="00A8130E">
        <w:t>lidé</w:t>
      </w:r>
      <w:r w:rsidR="00E223C8">
        <w:t xml:space="preserve"> pak </w:t>
      </w:r>
      <w:r w:rsidR="0073494C">
        <w:t xml:space="preserve">u nás </w:t>
      </w:r>
      <w:r w:rsidR="00E223C8">
        <w:t>projevili zájem</w:t>
      </w:r>
      <w:r w:rsidR="000C007A">
        <w:t xml:space="preserve"> </w:t>
      </w:r>
      <w:r w:rsidR="00AD7578">
        <w:t>o financování</w:t>
      </w:r>
      <w:r w:rsidR="00686352">
        <w:t xml:space="preserve"> </w:t>
      </w:r>
      <w:r w:rsidR="009E14CB">
        <w:t>…</w:t>
      </w:r>
    </w:p>
    <w:p w14:paraId="5B6203D5" w14:textId="148BE9FE" w:rsidR="00851F77" w:rsidRDefault="000C007A" w:rsidP="00AF5828">
      <w:pPr>
        <w:jc w:val="both"/>
      </w:pPr>
      <w:r>
        <w:rPr>
          <w:noProof/>
        </w:rPr>
        <w:drawing>
          <wp:inline distT="0" distB="0" distL="0" distR="0" wp14:anchorId="7482F057" wp14:editId="7C3EB164">
            <wp:extent cx="2949575" cy="3457575"/>
            <wp:effectExtent l="0" t="0" r="3175" b="0"/>
            <wp:docPr id="22" name="Graf 22">
              <a:extLst xmlns:a="http://schemas.openxmlformats.org/drawingml/2006/main">
                <a:ext uri="{FF2B5EF4-FFF2-40B4-BE49-F238E27FC236}">
                  <a16:creationId xmlns:a16="http://schemas.microsoft.com/office/drawing/2014/main" id="{2645848C-0CAE-4283-93F5-2E5663B1007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="00D20C9C" w:rsidRPr="00D20C9C">
        <w:rPr>
          <w:noProof/>
        </w:rPr>
        <w:t xml:space="preserve"> </w:t>
      </w:r>
      <w:r w:rsidR="00D20C9C">
        <w:rPr>
          <w:noProof/>
        </w:rPr>
        <w:drawing>
          <wp:inline distT="0" distB="0" distL="0" distR="0" wp14:anchorId="362C0663" wp14:editId="5E7ADCC4">
            <wp:extent cx="2762250" cy="3458845"/>
            <wp:effectExtent l="0" t="0" r="0" b="8255"/>
            <wp:docPr id="23" name="Graf 23">
              <a:extLst xmlns:a="http://schemas.openxmlformats.org/drawingml/2006/main">
                <a:ext uri="{FF2B5EF4-FFF2-40B4-BE49-F238E27FC236}">
                  <a16:creationId xmlns:a16="http://schemas.microsoft.com/office/drawing/2014/main" id="{A3545431-5F0A-4B0D-B61F-76E128704E5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21DD9296" w14:textId="09C8780C" w:rsidR="00802E16" w:rsidRDefault="008C3501" w:rsidP="00AF5828">
      <w:pPr>
        <w:jc w:val="both"/>
      </w:pPr>
      <w:r>
        <w:t xml:space="preserve">Bylo jim přitom představeno </w:t>
      </w:r>
      <w:r w:rsidR="00604864">
        <w:t>6</w:t>
      </w:r>
      <w:r>
        <w:t xml:space="preserve"> možných strategií, jak cílů udržitelnosti dosáhnout</w:t>
      </w:r>
      <w:r w:rsidR="000A50CD">
        <w:t xml:space="preserve">, a prakticky všechny jsou </w:t>
      </w:r>
      <w:r w:rsidR="00BA3168">
        <w:t xml:space="preserve">pro </w:t>
      </w:r>
      <w:r w:rsidR="00777548">
        <w:t>spotřebitele u nás</w:t>
      </w:r>
      <w:r w:rsidR="00BA3168">
        <w:t xml:space="preserve"> </w:t>
      </w:r>
      <w:r w:rsidR="003B558A">
        <w:t>zajímavé a relevantní.</w:t>
      </w:r>
    </w:p>
    <w:p w14:paraId="07EEE7AB" w14:textId="65C5F301" w:rsidR="00010959" w:rsidRDefault="00916FE4" w:rsidP="00AF5828">
      <w:pPr>
        <w:jc w:val="both"/>
      </w:pPr>
      <w:r>
        <w:rPr>
          <w:b/>
          <w:bCs/>
        </w:rPr>
        <w:t>V</w:t>
      </w:r>
      <w:r w:rsidR="004250E6">
        <w:rPr>
          <w:b/>
          <w:bCs/>
        </w:rPr>
        <w:t>y</w:t>
      </w:r>
      <w:r w:rsidR="00F539CD" w:rsidRPr="004250E6">
        <w:rPr>
          <w:b/>
          <w:bCs/>
        </w:rPr>
        <w:t>loučení</w:t>
      </w:r>
      <w:r w:rsidR="00E413D2">
        <w:t xml:space="preserve"> =</w:t>
      </w:r>
      <w:r w:rsidR="00F539CD" w:rsidRPr="00F539CD">
        <w:t xml:space="preserve"> </w:t>
      </w:r>
      <w:r>
        <w:t>j</w:t>
      </w:r>
      <w:r w:rsidR="00F539CD" w:rsidRPr="00F539CD">
        <w:t xml:space="preserve">e možné najít finanční produkty, které ze svého investičního záběru vylučují firmy zabývající se určitými kontroverzními aktivitami. V praxi to znamená, že investiční svět, ze kterého může portfolio manažer vybírat investice, bude omezen na společnosti, které NEJSOU zapojeny do vybraných kontroverzních aktivit. </w:t>
      </w:r>
    </w:p>
    <w:p w14:paraId="4CEDDFFD" w14:textId="2B7FE745" w:rsidR="00C70F32" w:rsidRDefault="00C70F32" w:rsidP="00AF5828">
      <w:pPr>
        <w:jc w:val="both"/>
      </w:pPr>
      <w:r w:rsidRPr="00C70F32">
        <w:rPr>
          <w:b/>
          <w:bCs/>
        </w:rPr>
        <w:t>Tematické investice</w:t>
      </w:r>
      <w:r>
        <w:t xml:space="preserve"> =</w:t>
      </w:r>
      <w:r w:rsidRPr="00C70F32">
        <w:t xml:space="preserve"> </w:t>
      </w:r>
      <w:r>
        <w:t>j</w:t>
      </w:r>
      <w:r w:rsidRPr="00C70F32">
        <w:t xml:space="preserve">e možné investovat do finančních produktů, které specificky vybírají společnosti z odvětví, které poskytují řešení konkrétních ekologických nebo sociálních problémů. V praxi to znamená, že investiční svět, ze kterého může portfolio manažer vybírat investice, bude omezen pouze na společnosti zabývající se vybraným tématem. </w:t>
      </w:r>
    </w:p>
    <w:p w14:paraId="599F18A7" w14:textId="6DC5F284" w:rsidR="00907EF2" w:rsidRDefault="00907EF2" w:rsidP="00907EF2">
      <w:pPr>
        <w:jc w:val="both"/>
      </w:pPr>
      <w:r w:rsidRPr="002A5CAD">
        <w:rPr>
          <w:b/>
          <w:bCs/>
        </w:rPr>
        <w:t>Nejlepší ve své třídě</w:t>
      </w:r>
      <w:r>
        <w:t xml:space="preserve"> = je možné investovat do finančních produktů, které specificky vybírají společnosti, které jsou nejlepší ve svém průmyslovém odvětví, pokud jde o otázky environmentální, sociální i otázky řízení těchto společností. V praxi to znamená, že investiční svět, ze kterého může portfolio manažer vybírat investice, bude omezen na společnosti s vysokým hodnocením ESG (životní prostředí, sociální oblast</w:t>
      </w:r>
      <w:r w:rsidR="0045507F">
        <w:t xml:space="preserve"> a</w:t>
      </w:r>
      <w:r>
        <w:t xml:space="preserve"> způsob řízení).</w:t>
      </w:r>
    </w:p>
    <w:p w14:paraId="253FEB2D" w14:textId="3466D467" w:rsidR="002A5CAD" w:rsidRDefault="002A5CAD" w:rsidP="002A5CAD">
      <w:pPr>
        <w:jc w:val="both"/>
      </w:pPr>
      <w:r w:rsidRPr="002A5CAD">
        <w:rPr>
          <w:b/>
          <w:bCs/>
        </w:rPr>
        <w:t>Investice s dopadem</w:t>
      </w:r>
      <w:r>
        <w:t xml:space="preserve"> = je možné najít investiční fondy, které vybírají své investice na základě pravděpodobného dopadu, který by měly na životní prostředí nebo společnost. Aby tak učinili, provádějí pečlivou analýzu dopadu společností a dodatečného účinku poskytnutí kapitálu těmto společnostem. V praxi to znamená, že investiční svět, ze kterého může portfolio manažer vybírat investice, bude omezen pouze na společnosti s vysokým potenciálem dopadu.</w:t>
      </w:r>
    </w:p>
    <w:p w14:paraId="7CB104DA" w14:textId="77777777" w:rsidR="00940D04" w:rsidRDefault="00940D04" w:rsidP="00907EF2">
      <w:pPr>
        <w:jc w:val="both"/>
      </w:pPr>
    </w:p>
    <w:p w14:paraId="39D3A2B5" w14:textId="63E9D65F" w:rsidR="00942BD7" w:rsidRDefault="00BE1FB5" w:rsidP="00AF5828">
      <w:pPr>
        <w:jc w:val="both"/>
      </w:pPr>
      <w:r w:rsidRPr="00BE1FB5">
        <w:rPr>
          <w:b/>
          <w:bCs/>
        </w:rPr>
        <w:t>Zapojení</w:t>
      </w:r>
      <w:r>
        <w:t xml:space="preserve"> = j</w:t>
      </w:r>
      <w:r w:rsidRPr="00BE1FB5">
        <w:t xml:space="preserve">e možné najít investiční fondy, které aktivně spolupracují se společnostmi (prostřednictvím neustálého dialogu nebo uplatňováním svých hlasovacích práv na valných hromadách akcionářů), aby společnosti změnily své obchodní praktiky a model. V praxi to znamená, že investiční svět portfolia by se neměnil, ale správce portfolia by se dostal do aktivního dialogu s některými anebo se všemi zainvestovanými společnostmi. </w:t>
      </w:r>
    </w:p>
    <w:p w14:paraId="3C9AC687" w14:textId="128F09C0" w:rsidR="00D1166C" w:rsidRDefault="00D1166C" w:rsidP="00D1166C">
      <w:pPr>
        <w:jc w:val="both"/>
      </w:pPr>
      <w:r w:rsidRPr="00D1166C">
        <w:rPr>
          <w:b/>
          <w:bCs/>
        </w:rPr>
        <w:t>Sdílení zisku</w:t>
      </w:r>
      <w:r>
        <w:t xml:space="preserve"> = je možné najít finanční produkty, které věnují část výnosů investora nevládním organizacím, charitativním organizacím nebo sociálním podnikům sloužícím konkrétním sociálním nebo ekologickým účelům.</w:t>
      </w:r>
      <w:r w:rsidR="005B27F7">
        <w:t xml:space="preserve"> </w:t>
      </w:r>
      <w:r>
        <w:t xml:space="preserve">V praxi to znamená, že by se neměnilo složení portfolia, ale část výnosů by byla darována. </w:t>
      </w:r>
    </w:p>
    <w:p w14:paraId="1B219509" w14:textId="48FA5DC2" w:rsidR="00010959" w:rsidRDefault="00C3346F" w:rsidP="00AF5828">
      <w:pPr>
        <w:jc w:val="both"/>
      </w:pPr>
      <w:r>
        <w:rPr>
          <w:noProof/>
        </w:rPr>
        <w:drawing>
          <wp:inline distT="0" distB="0" distL="0" distR="0" wp14:anchorId="47EBC86C" wp14:editId="5902D784">
            <wp:extent cx="5797550" cy="3003550"/>
            <wp:effectExtent l="0" t="0" r="0" b="6350"/>
            <wp:docPr id="24" name="Graf 24">
              <a:extLst xmlns:a="http://schemas.openxmlformats.org/drawingml/2006/main">
                <a:ext uri="{FF2B5EF4-FFF2-40B4-BE49-F238E27FC236}">
                  <a16:creationId xmlns:a16="http://schemas.microsoft.com/office/drawing/2014/main" id="{E961EC04-C805-42B7-A191-50D6A13ACFC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3F48BCC2" w14:textId="1C697B10" w:rsidR="008B42F3" w:rsidRDefault="008B42F3" w:rsidP="00AF5828">
      <w:pPr>
        <w:jc w:val="both"/>
      </w:pPr>
      <w:r>
        <w:t xml:space="preserve">Z dalších </w:t>
      </w:r>
      <w:r w:rsidR="00731F60">
        <w:t xml:space="preserve">otázek a odpovědí, </w:t>
      </w:r>
      <w:r w:rsidR="00694583">
        <w:t xml:space="preserve">pokud jde oblasti a důvody </w:t>
      </w:r>
      <w:r w:rsidR="00694583" w:rsidRPr="00022C75">
        <w:t xml:space="preserve">pro </w:t>
      </w:r>
      <w:r w:rsidR="00694583">
        <w:t>„</w:t>
      </w:r>
      <w:r w:rsidR="00694583" w:rsidRPr="00022C75">
        <w:t>vyloučení</w:t>
      </w:r>
      <w:r w:rsidR="00694583">
        <w:t>“</w:t>
      </w:r>
      <w:r w:rsidR="008169BC">
        <w:t>,</w:t>
      </w:r>
      <w:r w:rsidR="00694583">
        <w:t xml:space="preserve"> </w:t>
      </w:r>
      <w:r w:rsidR="00731F60">
        <w:t>pak také vyplynulo, že …</w:t>
      </w:r>
    </w:p>
    <w:p w14:paraId="5A76E555" w14:textId="46F3314F" w:rsidR="00C3346F" w:rsidRDefault="00240CF1" w:rsidP="00A27323">
      <w:pPr>
        <w:pStyle w:val="Odstavecseseznamem"/>
        <w:numPr>
          <w:ilvl w:val="0"/>
          <w:numId w:val="3"/>
        </w:numPr>
        <w:ind w:left="426" w:hanging="426"/>
        <w:jc w:val="both"/>
      </w:pPr>
      <w:r w:rsidRPr="00C4290A">
        <w:rPr>
          <w:u w:val="single"/>
        </w:rPr>
        <w:t>TOP 5</w:t>
      </w:r>
      <w:r w:rsidR="00022C75" w:rsidRPr="00C4290A">
        <w:rPr>
          <w:u w:val="single"/>
        </w:rPr>
        <w:t xml:space="preserve"> nejdůležitější</w:t>
      </w:r>
      <w:r w:rsidR="000E0C0D" w:rsidRPr="00C4290A">
        <w:rPr>
          <w:u w:val="single"/>
        </w:rPr>
        <w:t>mi</w:t>
      </w:r>
      <w:r w:rsidRPr="00C4290A">
        <w:rPr>
          <w:u w:val="single"/>
        </w:rPr>
        <w:t xml:space="preserve"> </w:t>
      </w:r>
      <w:r w:rsidR="00022C75" w:rsidRPr="00C4290A">
        <w:rPr>
          <w:u w:val="single"/>
        </w:rPr>
        <w:t>environmentální</w:t>
      </w:r>
      <w:r w:rsidR="000E0C0D" w:rsidRPr="00C4290A">
        <w:rPr>
          <w:u w:val="single"/>
        </w:rPr>
        <w:t>mi</w:t>
      </w:r>
      <w:r w:rsidR="00022C75" w:rsidRPr="00C4290A">
        <w:rPr>
          <w:u w:val="single"/>
        </w:rPr>
        <w:t xml:space="preserve"> </w:t>
      </w:r>
      <w:r w:rsidR="004568C3" w:rsidRPr="00C4290A">
        <w:rPr>
          <w:u w:val="single"/>
        </w:rPr>
        <w:t>témat</w:t>
      </w:r>
      <w:r w:rsidR="000E0C0D" w:rsidRPr="00C4290A">
        <w:rPr>
          <w:u w:val="single"/>
        </w:rPr>
        <w:t>y</w:t>
      </w:r>
      <w:r w:rsidR="00BB7654" w:rsidRPr="00C4290A">
        <w:rPr>
          <w:u w:val="single"/>
        </w:rPr>
        <w:t xml:space="preserve"> </w:t>
      </w:r>
      <w:r w:rsidR="004568C3" w:rsidRPr="00C4290A">
        <w:rPr>
          <w:u w:val="single"/>
        </w:rPr>
        <w:t>a</w:t>
      </w:r>
      <w:r w:rsidR="00606A58" w:rsidRPr="00C4290A">
        <w:rPr>
          <w:u w:val="single"/>
        </w:rPr>
        <w:t xml:space="preserve"> </w:t>
      </w:r>
      <w:r w:rsidR="00F06241" w:rsidRPr="00C4290A">
        <w:rPr>
          <w:u w:val="single"/>
        </w:rPr>
        <w:t>domén</w:t>
      </w:r>
      <w:r w:rsidR="00CB1080" w:rsidRPr="00C4290A">
        <w:rPr>
          <w:u w:val="single"/>
        </w:rPr>
        <w:t>ami</w:t>
      </w:r>
      <w:r w:rsidR="00F06241" w:rsidRPr="00C4290A">
        <w:rPr>
          <w:u w:val="single"/>
        </w:rPr>
        <w:t xml:space="preserve"> </w:t>
      </w:r>
      <w:r w:rsidR="00F86D84">
        <w:rPr>
          <w:u w:val="single"/>
        </w:rPr>
        <w:t xml:space="preserve">(řazeno sestupně) </w:t>
      </w:r>
      <w:r w:rsidR="00DB488D" w:rsidRPr="00C4290A">
        <w:rPr>
          <w:u w:val="single"/>
        </w:rPr>
        <w:t>jsou</w:t>
      </w:r>
      <w:r w:rsidR="003B41A0">
        <w:rPr>
          <w:rStyle w:val="Znakapoznpodarou"/>
          <w:u w:val="single"/>
        </w:rPr>
        <w:footnoteReference w:id="1"/>
      </w:r>
      <w:r w:rsidR="009D25AE">
        <w:t>:</w:t>
      </w:r>
    </w:p>
    <w:p w14:paraId="519B61E2" w14:textId="76E3ACA5" w:rsidR="009D25AE" w:rsidRDefault="003945AC" w:rsidP="00E934B7">
      <w:pPr>
        <w:ind w:left="708" w:firstLine="1"/>
        <w:jc w:val="both"/>
      </w:pPr>
      <w:r>
        <w:t xml:space="preserve">1. </w:t>
      </w:r>
      <w:r w:rsidRPr="003945AC">
        <w:t>Pesticidy a biocidy</w:t>
      </w:r>
      <w:r>
        <w:t xml:space="preserve">, 2. </w:t>
      </w:r>
      <w:r w:rsidR="00B627AC" w:rsidRPr="00B627AC">
        <w:t>Porušování ekologických norem v dodavatelském řetězci</w:t>
      </w:r>
      <w:r w:rsidR="00B627AC">
        <w:t xml:space="preserve">, 3. </w:t>
      </w:r>
      <w:r w:rsidR="00606A58" w:rsidRPr="00606A58">
        <w:t>Testování na zvířatech</w:t>
      </w:r>
      <w:r w:rsidR="00E934B7">
        <w:t xml:space="preserve">, 4. </w:t>
      </w:r>
      <w:r w:rsidR="00640A96" w:rsidRPr="00640A96">
        <w:t>Geneticky modifikované organismy</w:t>
      </w:r>
      <w:r w:rsidR="00640A96">
        <w:t xml:space="preserve"> a 5. Palmový olej</w:t>
      </w:r>
    </w:p>
    <w:p w14:paraId="423EE5BA" w14:textId="6343A588" w:rsidR="00714C4B" w:rsidRDefault="00714C4B" w:rsidP="00714C4B">
      <w:pPr>
        <w:pStyle w:val="Odstavecseseznamem"/>
        <w:numPr>
          <w:ilvl w:val="0"/>
          <w:numId w:val="3"/>
        </w:numPr>
        <w:ind w:left="426" w:hanging="426"/>
        <w:jc w:val="both"/>
      </w:pPr>
      <w:r w:rsidRPr="00C4290A">
        <w:rPr>
          <w:u w:val="single"/>
        </w:rPr>
        <w:t xml:space="preserve">TOP 5 </w:t>
      </w:r>
      <w:r w:rsidR="003105DD" w:rsidRPr="00C4290A">
        <w:rPr>
          <w:u w:val="single"/>
        </w:rPr>
        <w:t>nejdůležitějšími</w:t>
      </w:r>
      <w:r w:rsidRPr="00C4290A">
        <w:rPr>
          <w:u w:val="single"/>
        </w:rPr>
        <w:t xml:space="preserve"> </w:t>
      </w:r>
      <w:r w:rsidR="00CA0B82" w:rsidRPr="00C4290A">
        <w:rPr>
          <w:u w:val="single"/>
        </w:rPr>
        <w:t>sociální</w:t>
      </w:r>
      <w:r w:rsidR="003105DD" w:rsidRPr="00C4290A">
        <w:rPr>
          <w:u w:val="single"/>
        </w:rPr>
        <w:t>mi</w:t>
      </w:r>
      <w:r w:rsidR="00CA0B82" w:rsidRPr="00C4290A">
        <w:rPr>
          <w:u w:val="single"/>
        </w:rPr>
        <w:t xml:space="preserve"> problém</w:t>
      </w:r>
      <w:r w:rsidR="003105DD" w:rsidRPr="00C4290A">
        <w:rPr>
          <w:u w:val="single"/>
        </w:rPr>
        <w:t>y</w:t>
      </w:r>
      <w:r w:rsidR="00071221" w:rsidRPr="00C4290A">
        <w:rPr>
          <w:u w:val="single"/>
        </w:rPr>
        <w:t xml:space="preserve"> a</w:t>
      </w:r>
      <w:r w:rsidR="00EE676E" w:rsidRPr="00C4290A">
        <w:rPr>
          <w:u w:val="single"/>
        </w:rPr>
        <w:t xml:space="preserve"> otázk</w:t>
      </w:r>
      <w:r w:rsidR="003105DD" w:rsidRPr="00C4290A">
        <w:rPr>
          <w:u w:val="single"/>
        </w:rPr>
        <w:t>ami</w:t>
      </w:r>
      <w:r w:rsidR="00EE676E" w:rsidRPr="00C4290A">
        <w:rPr>
          <w:u w:val="single"/>
        </w:rPr>
        <w:t xml:space="preserve"> řízení spole</w:t>
      </w:r>
      <w:r w:rsidR="004568C3" w:rsidRPr="00C4290A">
        <w:rPr>
          <w:u w:val="single"/>
        </w:rPr>
        <w:t>čností</w:t>
      </w:r>
      <w:r w:rsidRPr="00C4290A">
        <w:rPr>
          <w:u w:val="single"/>
        </w:rPr>
        <w:t xml:space="preserve"> </w:t>
      </w:r>
      <w:r w:rsidR="00F86D84">
        <w:rPr>
          <w:u w:val="single"/>
        </w:rPr>
        <w:t xml:space="preserve">(řazeno sestupně) </w:t>
      </w:r>
      <w:r w:rsidRPr="00C4290A">
        <w:rPr>
          <w:u w:val="single"/>
        </w:rPr>
        <w:t>jsou</w:t>
      </w:r>
      <w:r w:rsidR="000C3D56">
        <w:rPr>
          <w:rStyle w:val="Znakapoznpodarou"/>
          <w:u w:val="single"/>
        </w:rPr>
        <w:footnoteReference w:id="2"/>
      </w:r>
      <w:r>
        <w:t>:</w:t>
      </w:r>
    </w:p>
    <w:p w14:paraId="3770E9F5" w14:textId="0A783FE0" w:rsidR="00777548" w:rsidRDefault="00714C4B" w:rsidP="004B12EB">
      <w:pPr>
        <w:ind w:left="708" w:firstLine="1"/>
        <w:jc w:val="both"/>
      </w:pPr>
      <w:r>
        <w:t xml:space="preserve">1. </w:t>
      </w:r>
      <w:r w:rsidR="005E07C2" w:rsidRPr="005E07C2">
        <w:t>Účetní podvody</w:t>
      </w:r>
      <w:r>
        <w:t xml:space="preserve">, 2. </w:t>
      </w:r>
      <w:r w:rsidR="00F86D84" w:rsidRPr="00F86D84">
        <w:t>Kontroverze v oblasti korupce</w:t>
      </w:r>
      <w:r>
        <w:t xml:space="preserve">, 3. </w:t>
      </w:r>
      <w:r w:rsidR="00FD1C28" w:rsidRPr="00FD1C28">
        <w:t>Porušování lidských práv v dodavatelském řetězci</w:t>
      </w:r>
      <w:r>
        <w:t xml:space="preserve">, 4. </w:t>
      </w:r>
      <w:r w:rsidR="00052059" w:rsidRPr="00052059">
        <w:t>Porušování pracovních práv v dodavatelském řetězci</w:t>
      </w:r>
      <w:r>
        <w:t xml:space="preserve"> a 5. </w:t>
      </w:r>
      <w:r w:rsidR="004B12EB" w:rsidRPr="004B12EB">
        <w:t>Strategie vyhýbání se daňovým povinnostem a zjištěná porušení předpisů</w:t>
      </w:r>
    </w:p>
    <w:p w14:paraId="395ED8FD" w14:textId="77777777" w:rsidR="002C0ED9" w:rsidRDefault="002C0ED9" w:rsidP="004B12EB">
      <w:pPr>
        <w:ind w:left="708" w:firstLine="1"/>
        <w:jc w:val="both"/>
      </w:pPr>
    </w:p>
    <w:p w14:paraId="087438A2" w14:textId="47BE35CA" w:rsidR="00035B86" w:rsidRDefault="00035B86" w:rsidP="00035B86">
      <w:pPr>
        <w:pStyle w:val="Odstavecseseznamem"/>
        <w:numPr>
          <w:ilvl w:val="0"/>
          <w:numId w:val="3"/>
        </w:numPr>
        <w:ind w:left="426" w:hanging="426"/>
        <w:jc w:val="both"/>
      </w:pPr>
      <w:r w:rsidRPr="00C4290A">
        <w:rPr>
          <w:u w:val="single"/>
        </w:rPr>
        <w:t xml:space="preserve">TOP 5 nejdůležitějšími </w:t>
      </w:r>
      <w:r>
        <w:rPr>
          <w:u w:val="single"/>
        </w:rPr>
        <w:t>etickými</w:t>
      </w:r>
      <w:r w:rsidRPr="00C4290A">
        <w:rPr>
          <w:u w:val="single"/>
        </w:rPr>
        <w:t xml:space="preserve"> otázkami </w:t>
      </w:r>
      <w:r>
        <w:rPr>
          <w:u w:val="single"/>
        </w:rPr>
        <w:t xml:space="preserve">(řazeno sestupně) </w:t>
      </w:r>
      <w:r w:rsidRPr="00C4290A">
        <w:rPr>
          <w:u w:val="single"/>
        </w:rPr>
        <w:t>jsou</w:t>
      </w:r>
      <w:r w:rsidR="003A3E3D">
        <w:rPr>
          <w:rStyle w:val="Znakapoznpodarou"/>
          <w:u w:val="single"/>
        </w:rPr>
        <w:footnoteReference w:id="3"/>
      </w:r>
      <w:r>
        <w:t>:</w:t>
      </w:r>
    </w:p>
    <w:p w14:paraId="6DAD48BC" w14:textId="1E73E4BE" w:rsidR="00035B86" w:rsidRDefault="00035B86" w:rsidP="00035B86">
      <w:pPr>
        <w:ind w:left="708" w:firstLine="1"/>
        <w:jc w:val="both"/>
      </w:pPr>
      <w:r>
        <w:t xml:space="preserve">1. </w:t>
      </w:r>
      <w:r w:rsidR="007B609C" w:rsidRPr="007B609C">
        <w:t>Hazardní hry</w:t>
      </w:r>
      <w:r>
        <w:t xml:space="preserve">, 2. </w:t>
      </w:r>
      <w:r w:rsidR="00886EDA" w:rsidRPr="00886EDA">
        <w:t>Zbraně</w:t>
      </w:r>
      <w:r>
        <w:t xml:space="preserve">, 3. </w:t>
      </w:r>
      <w:r w:rsidR="00886EDA" w:rsidRPr="00886EDA">
        <w:t xml:space="preserve">Sex </w:t>
      </w:r>
      <w:r w:rsidR="00886EDA">
        <w:t>a</w:t>
      </w:r>
      <w:r w:rsidR="00886EDA" w:rsidRPr="00886EDA">
        <w:t xml:space="preserve"> násilí v médiích</w:t>
      </w:r>
      <w:r>
        <w:t xml:space="preserve">, 4. </w:t>
      </w:r>
      <w:r w:rsidR="00A46D7A" w:rsidRPr="00A46D7A">
        <w:t>Tabák</w:t>
      </w:r>
      <w:r>
        <w:t xml:space="preserve"> a 5. </w:t>
      </w:r>
      <w:r w:rsidR="00A46D7A" w:rsidRPr="00A46D7A">
        <w:t>Alkohol</w:t>
      </w:r>
    </w:p>
    <w:p w14:paraId="4C4D5959" w14:textId="77777777" w:rsidR="004B12EB" w:rsidRPr="001262C1" w:rsidRDefault="004B12EB" w:rsidP="00AF5828">
      <w:pPr>
        <w:jc w:val="both"/>
        <w:rPr>
          <w:sz w:val="10"/>
          <w:szCs w:val="10"/>
        </w:rPr>
      </w:pPr>
    </w:p>
    <w:p w14:paraId="5D91B1D5" w14:textId="76E00071" w:rsidR="004B4B1F" w:rsidRDefault="004B4B1F" w:rsidP="00AF5828">
      <w:pPr>
        <w:jc w:val="both"/>
      </w:pPr>
      <w:r w:rsidRPr="0038637D">
        <w:rPr>
          <w:u w:val="single"/>
        </w:rPr>
        <w:t xml:space="preserve">Pro „tematické investice“ </w:t>
      </w:r>
      <w:r w:rsidR="0038637D" w:rsidRPr="0038637D">
        <w:rPr>
          <w:u w:val="single"/>
        </w:rPr>
        <w:t xml:space="preserve">a spotřebitele </w:t>
      </w:r>
      <w:r w:rsidRPr="0038637D">
        <w:rPr>
          <w:u w:val="single"/>
        </w:rPr>
        <w:t xml:space="preserve">jsou u nás TOP 5 </w:t>
      </w:r>
      <w:r w:rsidR="0038637D" w:rsidRPr="0038637D">
        <w:rPr>
          <w:u w:val="single"/>
        </w:rPr>
        <w:t xml:space="preserve">oblasti </w:t>
      </w:r>
      <w:r w:rsidRPr="0038637D">
        <w:rPr>
          <w:u w:val="single"/>
        </w:rPr>
        <w:t>tyto</w:t>
      </w:r>
      <w:r w:rsidR="00A977FA">
        <w:rPr>
          <w:rStyle w:val="Znakapoznpodarou"/>
          <w:u w:val="single"/>
        </w:rPr>
        <w:footnoteReference w:id="4"/>
      </w:r>
      <w:r>
        <w:t>:</w:t>
      </w:r>
    </w:p>
    <w:p w14:paraId="6EEDC3A4" w14:textId="1AE5A462" w:rsidR="00913B3F" w:rsidRDefault="00D74220" w:rsidP="00D74220">
      <w:pPr>
        <w:jc w:val="both"/>
      </w:pPr>
      <w:r>
        <w:t xml:space="preserve">1. </w:t>
      </w:r>
      <w:r w:rsidRPr="00D74220">
        <w:t>Zdraví</w:t>
      </w:r>
      <w:r>
        <w:t xml:space="preserve">, 2. </w:t>
      </w:r>
      <w:r w:rsidRPr="00D74220">
        <w:t>Čistá voda</w:t>
      </w:r>
      <w:r>
        <w:t xml:space="preserve">, 3. </w:t>
      </w:r>
      <w:r w:rsidR="00EE1C53" w:rsidRPr="00EE1C53">
        <w:t>Obnovitelná energie</w:t>
      </w:r>
      <w:r w:rsidR="00EE1C53">
        <w:t xml:space="preserve">, 4. </w:t>
      </w:r>
      <w:r w:rsidR="00A977FA" w:rsidRPr="00A977FA">
        <w:t>Snížení znečištění</w:t>
      </w:r>
      <w:r w:rsidR="00A977FA">
        <w:t xml:space="preserve"> a 5. </w:t>
      </w:r>
      <w:r w:rsidR="00A977FA" w:rsidRPr="00A977FA">
        <w:t>Péče o stáří</w:t>
      </w:r>
    </w:p>
    <w:p w14:paraId="3684DF84" w14:textId="77777777" w:rsidR="00C933AB" w:rsidRPr="001262C1" w:rsidRDefault="00C933AB" w:rsidP="00AF5828">
      <w:pPr>
        <w:jc w:val="both"/>
        <w:rPr>
          <w:sz w:val="10"/>
          <w:szCs w:val="10"/>
        </w:rPr>
      </w:pPr>
    </w:p>
    <w:p w14:paraId="6CF5A2DA" w14:textId="2BB64095" w:rsidR="00EA4180" w:rsidRDefault="00EA4180" w:rsidP="00AF5828">
      <w:pPr>
        <w:jc w:val="both"/>
      </w:pPr>
      <w:r>
        <w:t>Pokud jde o ESG kritéria a jejich uplatnění</w:t>
      </w:r>
      <w:r w:rsidR="004B1FFB">
        <w:t xml:space="preserve"> v rámci strategie „nejlepší ve své třídě“</w:t>
      </w:r>
      <w:r w:rsidR="00153CE5">
        <w:t xml:space="preserve"> v podobě </w:t>
      </w:r>
      <w:r w:rsidR="00F142FA" w:rsidRPr="00153CE5">
        <w:t>screening</w:t>
      </w:r>
      <w:r w:rsidR="00F142FA">
        <w:t>u</w:t>
      </w:r>
      <w:r w:rsidR="00F142FA" w:rsidRPr="00F142FA">
        <w:t xml:space="preserve"> </w:t>
      </w:r>
      <w:r w:rsidR="00F142FA" w:rsidRPr="00153CE5">
        <w:t>finanční</w:t>
      </w:r>
      <w:r w:rsidR="00F142FA">
        <w:t>ch</w:t>
      </w:r>
      <w:r w:rsidR="00F142FA" w:rsidRPr="00153CE5">
        <w:t xml:space="preserve"> produkt</w:t>
      </w:r>
      <w:r w:rsidR="00F142FA">
        <w:t>ů</w:t>
      </w:r>
      <w:r w:rsidR="004B1FFB">
        <w:t xml:space="preserve">, </w:t>
      </w:r>
      <w:r w:rsidR="00153CE5">
        <w:t>37 % spotřebitelů by si přálo</w:t>
      </w:r>
      <w:r w:rsidR="00F142FA">
        <w:t xml:space="preserve">, aby </w:t>
      </w:r>
      <w:r w:rsidR="00AB1A72">
        <w:t>screening probíhal n</w:t>
      </w:r>
      <w:r w:rsidR="00AB1A72" w:rsidRPr="00AB1A72">
        <w:t>a základě vyváženého mixu environmentálních a sociálních kritérií i otázek řízení společností</w:t>
      </w:r>
      <w:r w:rsidR="00AB1A72">
        <w:t xml:space="preserve">, </w:t>
      </w:r>
      <w:r w:rsidR="00347970">
        <w:t>31 % chce, aby screening probíhal p</w:t>
      </w:r>
      <w:r w:rsidR="00347970" w:rsidRPr="00347970">
        <w:t>řevážně na základě environmentálních kritérií (</w:t>
      </w:r>
      <w:r w:rsidR="00347970">
        <w:t>t</w:t>
      </w:r>
      <w:r w:rsidR="00223A48">
        <w:t xml:space="preserve">j. na základě </w:t>
      </w:r>
      <w:r w:rsidR="00347970" w:rsidRPr="00347970">
        <w:t>např. emis</w:t>
      </w:r>
      <w:r w:rsidR="00223A48">
        <w:t>í</w:t>
      </w:r>
      <w:r w:rsidR="00347970" w:rsidRPr="00347970">
        <w:t xml:space="preserve"> uhlíku, spotřeb</w:t>
      </w:r>
      <w:r w:rsidR="00223A48">
        <w:t xml:space="preserve">y </w:t>
      </w:r>
      <w:r w:rsidR="00347970" w:rsidRPr="00347970">
        <w:t>vody atd.)</w:t>
      </w:r>
      <w:r w:rsidR="00223A48">
        <w:t xml:space="preserve">, </w:t>
      </w:r>
      <w:r w:rsidR="002813E2">
        <w:t>20 % chce, aby screening probíhal</w:t>
      </w:r>
      <w:r w:rsidR="002813E2" w:rsidRPr="00000830">
        <w:t xml:space="preserve"> </w:t>
      </w:r>
      <w:r w:rsidR="002813E2">
        <w:t>p</w:t>
      </w:r>
      <w:r w:rsidR="002813E2" w:rsidRPr="00347970">
        <w:t>řevážně</w:t>
      </w:r>
      <w:r w:rsidR="002813E2" w:rsidRPr="00000830">
        <w:t xml:space="preserve"> </w:t>
      </w:r>
      <w:r w:rsidR="00267FAF" w:rsidRPr="00267FAF">
        <w:t>na základě sociálních kritérií (</w:t>
      </w:r>
      <w:r w:rsidR="00267FAF">
        <w:t xml:space="preserve">tj. na základě </w:t>
      </w:r>
      <w:r w:rsidR="00267FAF" w:rsidRPr="00267FAF">
        <w:t>např. pracovní</w:t>
      </w:r>
      <w:r w:rsidR="00267FAF">
        <w:t>ho</w:t>
      </w:r>
      <w:r w:rsidR="00267FAF" w:rsidRPr="00267FAF">
        <w:t xml:space="preserve"> práva, rovnost</w:t>
      </w:r>
      <w:r w:rsidR="00267FAF">
        <w:t xml:space="preserve">i </w:t>
      </w:r>
      <w:r w:rsidR="00267FAF" w:rsidRPr="00267FAF">
        <w:t>pohlaví, rozmanitost</w:t>
      </w:r>
      <w:r w:rsidR="00267FAF">
        <w:t>i společnosti</w:t>
      </w:r>
      <w:r w:rsidR="00267FAF" w:rsidRPr="00267FAF">
        <w:t xml:space="preserve"> atd.) </w:t>
      </w:r>
      <w:r w:rsidR="002813E2">
        <w:t>a 1</w:t>
      </w:r>
      <w:r w:rsidR="00000830">
        <w:t>2 % chce, aby screening probíhal</w:t>
      </w:r>
      <w:r w:rsidR="00000830" w:rsidRPr="00000830">
        <w:t xml:space="preserve"> </w:t>
      </w:r>
      <w:r w:rsidR="00000830">
        <w:t>p</w:t>
      </w:r>
      <w:r w:rsidR="00000830" w:rsidRPr="00347970">
        <w:t>řevážně</w:t>
      </w:r>
      <w:r w:rsidR="00000830" w:rsidRPr="00000830">
        <w:t xml:space="preserve"> na základě otázek řízení společností (</w:t>
      </w:r>
      <w:r w:rsidR="00000830">
        <w:t xml:space="preserve">tj. na základě </w:t>
      </w:r>
      <w:r w:rsidR="00000830" w:rsidRPr="00000830">
        <w:t>např. odměňování vedoucích pracovníků, protikorupční politik</w:t>
      </w:r>
      <w:r w:rsidR="00000830">
        <w:t>y</w:t>
      </w:r>
      <w:r w:rsidR="00000830" w:rsidRPr="00000830">
        <w:t>, dodržování daňových předpisů atd.)</w:t>
      </w:r>
      <w:r w:rsidR="002813E2">
        <w:t>.</w:t>
      </w:r>
    </w:p>
    <w:p w14:paraId="5909D789" w14:textId="77777777" w:rsidR="001262C1" w:rsidRPr="001262C1" w:rsidRDefault="001262C1" w:rsidP="00AF5828">
      <w:pPr>
        <w:jc w:val="both"/>
        <w:rPr>
          <w:sz w:val="10"/>
          <w:szCs w:val="10"/>
        </w:rPr>
      </w:pPr>
    </w:p>
    <w:p w14:paraId="0349D9E1" w14:textId="664B9753" w:rsidR="001262C1" w:rsidRDefault="00044682" w:rsidP="00AF5828">
      <w:pPr>
        <w:jc w:val="both"/>
      </w:pPr>
      <w:r w:rsidRPr="00785F45">
        <w:rPr>
          <w:u w:val="single"/>
        </w:rPr>
        <w:t xml:space="preserve">TOP 5 oblastí </w:t>
      </w:r>
      <w:r w:rsidR="00785F45" w:rsidRPr="00785F45">
        <w:rPr>
          <w:u w:val="single"/>
        </w:rPr>
        <w:t xml:space="preserve">vymezených </w:t>
      </w:r>
      <w:r w:rsidR="00F465E0" w:rsidRPr="00785F45">
        <w:rPr>
          <w:u w:val="single"/>
        </w:rPr>
        <w:t>cíl</w:t>
      </w:r>
      <w:r w:rsidR="00785F45" w:rsidRPr="00785F45">
        <w:rPr>
          <w:u w:val="single"/>
        </w:rPr>
        <w:t>i</w:t>
      </w:r>
      <w:r w:rsidR="00F465E0" w:rsidRPr="00785F45">
        <w:rPr>
          <w:u w:val="single"/>
        </w:rPr>
        <w:t xml:space="preserve"> udržitelného rozvoje Organizace spojených národů </w:t>
      </w:r>
      <w:r w:rsidRPr="00785F45">
        <w:rPr>
          <w:u w:val="single"/>
        </w:rPr>
        <w:t xml:space="preserve">pro „investice s dopadem“ jsou pak </w:t>
      </w:r>
      <w:r w:rsidR="00785F45" w:rsidRPr="00785F45">
        <w:rPr>
          <w:u w:val="single"/>
        </w:rPr>
        <w:t xml:space="preserve">konečně </w:t>
      </w:r>
      <w:r w:rsidRPr="00785F45">
        <w:rPr>
          <w:u w:val="single"/>
        </w:rPr>
        <w:t>podle českých spotřebitelů tyto</w:t>
      </w:r>
      <w:r w:rsidR="00922133">
        <w:rPr>
          <w:rStyle w:val="Znakapoznpodarou"/>
          <w:u w:val="single"/>
        </w:rPr>
        <w:footnoteReference w:id="5"/>
      </w:r>
      <w:r>
        <w:t>:</w:t>
      </w:r>
    </w:p>
    <w:p w14:paraId="1A987315" w14:textId="03662059" w:rsidR="0044031D" w:rsidRDefault="00785F45" w:rsidP="00AF5828">
      <w:pPr>
        <w:jc w:val="both"/>
      </w:pPr>
      <w:r>
        <w:t xml:space="preserve">1. </w:t>
      </w:r>
      <w:r w:rsidR="0061741F" w:rsidRPr="0061741F">
        <w:t>Podporovat zdraví</w:t>
      </w:r>
      <w:r w:rsidR="0061741F">
        <w:t xml:space="preserve">, 2. </w:t>
      </w:r>
      <w:r w:rsidR="0061741F" w:rsidRPr="0061741F">
        <w:t>Snížit chudobu</w:t>
      </w:r>
      <w:r w:rsidR="0061741F">
        <w:t xml:space="preserve">, 3. </w:t>
      </w:r>
      <w:r w:rsidR="00001B62" w:rsidRPr="00001B62">
        <w:t>Podporovat vzdělání</w:t>
      </w:r>
      <w:r w:rsidR="00001B62">
        <w:t xml:space="preserve">, 4. </w:t>
      </w:r>
      <w:r w:rsidR="00001B62" w:rsidRPr="00001B62">
        <w:t>Podporovat čistou pitnou vodu a hygienu po celém světě</w:t>
      </w:r>
      <w:r w:rsidR="00001B62">
        <w:t xml:space="preserve"> a 5. </w:t>
      </w:r>
      <w:r w:rsidR="00001B62" w:rsidRPr="00001B62">
        <w:t>Snížit hlad</w:t>
      </w:r>
    </w:p>
    <w:p w14:paraId="7F8D6B4D" w14:textId="77777777" w:rsidR="00F142FA" w:rsidRDefault="00F142FA" w:rsidP="00AF5828">
      <w:pPr>
        <w:jc w:val="both"/>
      </w:pPr>
    </w:p>
    <w:p w14:paraId="7F7C9486" w14:textId="77777777" w:rsidR="00AF5828" w:rsidRPr="00CD19D1" w:rsidRDefault="00AF5828" w:rsidP="00AF5828">
      <w:pPr>
        <w:jc w:val="both"/>
      </w:pPr>
      <w:r w:rsidRPr="00CD19D1">
        <w:rPr>
          <w:b/>
          <w:bCs/>
        </w:rPr>
        <w:t xml:space="preserve">Celkové </w:t>
      </w:r>
      <w:r>
        <w:rPr>
          <w:b/>
          <w:bCs/>
        </w:rPr>
        <w:t>z</w:t>
      </w:r>
      <w:r w:rsidRPr="00CD19D1">
        <w:rPr>
          <w:b/>
          <w:bCs/>
        </w:rPr>
        <w:t>hodnocení</w:t>
      </w:r>
      <w:r w:rsidRPr="00CD19D1">
        <w:t>:</w:t>
      </w:r>
    </w:p>
    <w:p w14:paraId="7BF3B75B" w14:textId="354697B5" w:rsidR="00D27279" w:rsidRDefault="00D27279" w:rsidP="00AF5828">
      <w:pPr>
        <w:jc w:val="both"/>
        <w:rPr>
          <w:highlight w:val="yellow"/>
        </w:rPr>
      </w:pPr>
      <w:r>
        <w:t xml:space="preserve">Spotřebitelé v ČR jako retailoví investoři projevují </w:t>
      </w:r>
      <w:r w:rsidR="00BB6BA9">
        <w:t xml:space="preserve">o oblast a nástroje udržitelného financování </w:t>
      </w:r>
      <w:r>
        <w:t>zájem</w:t>
      </w:r>
      <w:r w:rsidR="005358F2">
        <w:t xml:space="preserve"> a</w:t>
      </w:r>
      <w:r w:rsidR="001573A1" w:rsidRPr="001573A1">
        <w:t xml:space="preserve"> </w:t>
      </w:r>
      <w:r w:rsidR="005358F2">
        <w:t xml:space="preserve">vedle finančních </w:t>
      </w:r>
      <w:r w:rsidR="00497234">
        <w:t>cílů,</w:t>
      </w:r>
      <w:r w:rsidR="005358F2">
        <w:t xml:space="preserve"> </w:t>
      </w:r>
      <w:r w:rsidR="004B7A4B">
        <w:t xml:space="preserve">resp. </w:t>
      </w:r>
      <w:r w:rsidR="00301F73">
        <w:t xml:space="preserve">vedle </w:t>
      </w:r>
      <w:r w:rsidR="004B7A4B">
        <w:t xml:space="preserve">finanční </w:t>
      </w:r>
      <w:r w:rsidR="00301F73">
        <w:t xml:space="preserve">charakteristiky investičních produktů </w:t>
      </w:r>
      <w:r w:rsidR="002F4105">
        <w:t xml:space="preserve">jako je </w:t>
      </w:r>
      <w:r w:rsidR="004B7A4B" w:rsidRPr="00C20997">
        <w:t>očekávaná návratnost, riziko a likvidita</w:t>
      </w:r>
      <w:r w:rsidR="004B7A4B">
        <w:t xml:space="preserve"> </w:t>
      </w:r>
      <w:r w:rsidR="001573A1">
        <w:t>jsou pro ně důležité i cíle</w:t>
      </w:r>
      <w:r w:rsidR="005358F2" w:rsidRPr="005358F2">
        <w:t xml:space="preserve"> </w:t>
      </w:r>
      <w:r w:rsidR="005358F2">
        <w:t xml:space="preserve">nefinanční, </w:t>
      </w:r>
      <w:r w:rsidR="002420E3">
        <w:t xml:space="preserve">které zahrnují jak environmentální </w:t>
      </w:r>
      <w:r w:rsidR="00CE5935">
        <w:t xml:space="preserve">a sociální </w:t>
      </w:r>
      <w:r w:rsidR="002420E3">
        <w:t>témata</w:t>
      </w:r>
      <w:r w:rsidR="00CE5935">
        <w:t xml:space="preserve">, tak i otázky spojené s řízením podniků </w:t>
      </w:r>
      <w:r w:rsidR="00F5450A">
        <w:t>anebo etikou.</w:t>
      </w:r>
    </w:p>
    <w:p w14:paraId="5E44BC27" w14:textId="07589090" w:rsidR="00AF5828" w:rsidRDefault="00CF1F2F" w:rsidP="00AF5828">
      <w:pPr>
        <w:jc w:val="both"/>
      </w:pPr>
      <w:r>
        <w:t>Z provedeného průzkumu rovněž vyplynulo, že spotřebitelé</w:t>
      </w:r>
      <w:r w:rsidR="00C00562">
        <w:t xml:space="preserve"> by u nás</w:t>
      </w:r>
      <w:r w:rsidR="00FB3EB8">
        <w:t xml:space="preserve"> </w:t>
      </w:r>
      <w:r w:rsidR="00C00562">
        <w:t xml:space="preserve">určitě </w:t>
      </w:r>
      <w:r w:rsidR="00C3109B">
        <w:t xml:space="preserve">projevili zájem o </w:t>
      </w:r>
      <w:r w:rsidR="00A27D07">
        <w:t xml:space="preserve">více </w:t>
      </w:r>
      <w:r w:rsidR="00C3109B">
        <w:t>informac</w:t>
      </w:r>
      <w:r w:rsidR="00A27D07">
        <w:t>í</w:t>
      </w:r>
      <w:r w:rsidR="00C3109B">
        <w:t xml:space="preserve"> </w:t>
      </w:r>
      <w:r w:rsidR="00FB3EB8">
        <w:t>o produkt</w:t>
      </w:r>
      <w:r w:rsidR="00A27D07">
        <w:t>ech</w:t>
      </w:r>
      <w:r w:rsidR="00FB3EB8">
        <w:t xml:space="preserve"> </w:t>
      </w:r>
      <w:r w:rsidR="0007581F">
        <w:t>zaměřen</w:t>
      </w:r>
      <w:r w:rsidR="002258A6">
        <w:t>ých</w:t>
      </w:r>
      <w:r w:rsidR="0007581F">
        <w:t xml:space="preserve"> </w:t>
      </w:r>
      <w:r w:rsidR="009A1012">
        <w:t xml:space="preserve">přímo </w:t>
      </w:r>
      <w:r w:rsidR="0007581F">
        <w:t xml:space="preserve">na </w:t>
      </w:r>
      <w:r w:rsidR="009A1012">
        <w:t xml:space="preserve">tzv. </w:t>
      </w:r>
      <w:r w:rsidR="0007581F">
        <w:t xml:space="preserve">„zelené finance“ </w:t>
      </w:r>
      <w:r w:rsidR="0015412D">
        <w:t xml:space="preserve">a že existuje </w:t>
      </w:r>
      <w:r w:rsidR="003A7670">
        <w:t xml:space="preserve">i relativně velká skupina lidí, </w:t>
      </w:r>
      <w:r w:rsidR="009A1012">
        <w:t xml:space="preserve">která není rozhodnuta, jak by postupovala, </w:t>
      </w:r>
      <w:r w:rsidR="004E0DC3">
        <w:t xml:space="preserve">pokud by takovou nabídku </w:t>
      </w:r>
      <w:r w:rsidR="00261B0E">
        <w:t xml:space="preserve">v praxi </w:t>
      </w:r>
      <w:r w:rsidR="004E0DC3">
        <w:t>dostal</w:t>
      </w:r>
      <w:r w:rsidR="00F73668">
        <w:t>a</w:t>
      </w:r>
      <w:r w:rsidR="004E0DC3">
        <w:t>.</w:t>
      </w:r>
    </w:p>
    <w:p w14:paraId="36EE8B60" w14:textId="77777777" w:rsidR="003A7670" w:rsidRPr="00832C8D" w:rsidRDefault="003A7670" w:rsidP="00AF5828">
      <w:pPr>
        <w:jc w:val="both"/>
      </w:pPr>
    </w:p>
    <w:p w14:paraId="0DF3141D" w14:textId="77777777" w:rsidR="00AF5828" w:rsidRPr="008106D3" w:rsidRDefault="00AF5828" w:rsidP="00AF5828">
      <w:pPr>
        <w:rPr>
          <w:rFonts w:cstheme="minorHAnsi"/>
          <w:u w:val="single"/>
        </w:rPr>
      </w:pPr>
      <w:r w:rsidRPr="008106D3">
        <w:rPr>
          <w:rFonts w:cstheme="minorHAnsi"/>
          <w:u w:val="single"/>
        </w:rPr>
        <w:t>Vyhodnocení dopadu projektu</w:t>
      </w:r>
      <w:r>
        <w:rPr>
          <w:rFonts w:cstheme="minorHAnsi"/>
          <w:u w:val="single"/>
        </w:rPr>
        <w:t xml:space="preserve"> na spotřebitelskou veřejnost</w:t>
      </w:r>
    </w:p>
    <w:p w14:paraId="41575E3F" w14:textId="057E0F17" w:rsidR="00AF5828" w:rsidRDefault="00AF5828" w:rsidP="00AF5828">
      <w:pPr>
        <w:jc w:val="both"/>
      </w:pPr>
      <w:r>
        <w:t>Tento projekt přispěl k</w:t>
      </w:r>
      <w:r w:rsidR="003A0BCB">
        <w:t>e zjištění</w:t>
      </w:r>
      <w:r>
        <w:t xml:space="preserve">, </w:t>
      </w:r>
      <w:r w:rsidR="000510E0">
        <w:t xml:space="preserve">jaké preference mají čeští spotřebitelé jako drobní investoři </w:t>
      </w:r>
      <w:r>
        <w:t>v oblasti ESG, a může napomoci i těm f</w:t>
      </w:r>
      <w:r w:rsidRPr="007F17CB">
        <w:t>inanční</w:t>
      </w:r>
      <w:r>
        <w:t>m</w:t>
      </w:r>
      <w:r w:rsidRPr="007F17CB">
        <w:t xml:space="preserve"> poradc</w:t>
      </w:r>
      <w:r>
        <w:t>ům</w:t>
      </w:r>
      <w:r w:rsidRPr="007F17CB">
        <w:t xml:space="preserve"> a distributo</w:t>
      </w:r>
      <w:r>
        <w:t xml:space="preserve">rům investičních produktů, kteří jsou </w:t>
      </w:r>
      <w:r w:rsidRPr="007F17CB">
        <w:t>na</w:t>
      </w:r>
      <w:r>
        <w:t xml:space="preserve"> preference svých klientů</w:t>
      </w:r>
      <w:r w:rsidRPr="00061BC3">
        <w:t xml:space="preserve"> </w:t>
      </w:r>
      <w:r w:rsidRPr="007F17CB">
        <w:t>v</w:t>
      </w:r>
      <w:r>
        <w:t xml:space="preserve"> této </w:t>
      </w:r>
      <w:r w:rsidRPr="007F17CB">
        <w:t>oblasti citliví</w:t>
      </w:r>
      <w:r>
        <w:t xml:space="preserve">, aby jejich přání a cíle respektovali a aby se tak lépe připravili i na nově zavedené povinnosti v rámci reformy MiFID II a IDD </w:t>
      </w:r>
      <w:r w:rsidR="0044238F">
        <w:t>včetně</w:t>
      </w:r>
      <w:r>
        <w:t xml:space="preserve"> Směrnic</w:t>
      </w:r>
      <w:r w:rsidR="0044238F">
        <w:t>e</w:t>
      </w:r>
      <w:r>
        <w:t xml:space="preserve"> EU č. 2021/1269</w:t>
      </w:r>
      <w:r w:rsidRPr="00D602BC">
        <w:t xml:space="preserve"> o začlenění faktorů udržitelnosti do povinností při řízení </w:t>
      </w:r>
      <w:r>
        <w:t xml:space="preserve">investičních </w:t>
      </w:r>
      <w:r w:rsidRPr="00D602BC">
        <w:t>produktů</w:t>
      </w:r>
      <w:r>
        <w:t>.</w:t>
      </w:r>
    </w:p>
    <w:p w14:paraId="4FC77C30" w14:textId="77777777" w:rsidR="00AF5828" w:rsidRDefault="00AF5828" w:rsidP="00AF5828">
      <w:pPr>
        <w:jc w:val="both"/>
      </w:pPr>
    </w:p>
    <w:p w14:paraId="32F42D75" w14:textId="77777777" w:rsidR="00AF5828" w:rsidRPr="00572DAC" w:rsidRDefault="00AF5828" w:rsidP="00AF5828">
      <w:pPr>
        <w:jc w:val="both"/>
        <w:rPr>
          <w:u w:val="single"/>
        </w:rPr>
      </w:pPr>
      <w:r w:rsidRPr="00572DAC">
        <w:rPr>
          <w:u w:val="single"/>
        </w:rPr>
        <w:t>Viditelnost projektu</w:t>
      </w:r>
    </w:p>
    <w:p w14:paraId="4F0DAE41" w14:textId="77777777" w:rsidR="00AF5828" w:rsidRDefault="00AF5828" w:rsidP="00AF5828">
      <w:pPr>
        <w:jc w:val="both"/>
      </w:pPr>
      <w:r>
        <w:t>Logo Spotřebitelského fóra bylo uvedeno na webových stránkách SČS a informace o tom, že tento projekt byl realizován (vedle dalších partnerů) i s laskavou podporou Spotřebitelského fóra, bude uvedena jak na pozvánkách, tak i na všech odborných seminářích a dalších akcích, které k tomuto tématu</w:t>
      </w:r>
      <w:r w:rsidRPr="00B51496">
        <w:t xml:space="preserve"> </w:t>
      </w:r>
      <w:r>
        <w:t>SČS v letech 2022-2023 uspořádá.</w:t>
      </w:r>
    </w:p>
    <w:p w14:paraId="5AE2E401" w14:textId="77777777" w:rsidR="00AF5828" w:rsidRDefault="00AF5828" w:rsidP="00AF5828">
      <w:pPr>
        <w:rPr>
          <w:rFonts w:cstheme="minorHAnsi"/>
          <w:u w:val="single"/>
        </w:rPr>
      </w:pPr>
    </w:p>
    <w:p w14:paraId="4D51E5E3" w14:textId="77777777" w:rsidR="00AF5828" w:rsidRDefault="00AF5828" w:rsidP="00AF5828">
      <w:pPr>
        <w:rPr>
          <w:rFonts w:cstheme="minorHAnsi"/>
          <w:u w:val="single"/>
        </w:rPr>
      </w:pPr>
      <w:r w:rsidRPr="008106D3">
        <w:rPr>
          <w:rFonts w:cstheme="minorHAnsi"/>
          <w:u w:val="single"/>
        </w:rPr>
        <w:t>Využití finančních prostředků</w:t>
      </w:r>
      <w:r>
        <w:rPr>
          <w:rFonts w:cstheme="minorHAnsi"/>
          <w:u w:val="single"/>
        </w:rPr>
        <w:t xml:space="preserve"> (grantu)</w:t>
      </w:r>
    </w:p>
    <w:p w14:paraId="59ED020A" w14:textId="77777777" w:rsidR="00AF5828" w:rsidRDefault="00AF5828" w:rsidP="00AF5828">
      <w:pPr>
        <w:jc w:val="both"/>
        <w:rPr>
          <w:rFonts w:cstheme="minorHAnsi"/>
        </w:rPr>
      </w:pPr>
      <w:r>
        <w:rPr>
          <w:rFonts w:cstheme="minorHAnsi"/>
        </w:rPr>
        <w:t xml:space="preserve">Finanční prostředky ve výši 30 tis. Kč byly využity na financování </w:t>
      </w:r>
      <w:r>
        <w:t>externích služeb.</w:t>
      </w:r>
    </w:p>
    <w:p w14:paraId="74742BE5" w14:textId="77777777" w:rsidR="00AF5828" w:rsidRDefault="00AF5828" w:rsidP="00AF5828">
      <w:pPr>
        <w:rPr>
          <w:rFonts w:cstheme="minorHAnsi"/>
        </w:rPr>
      </w:pPr>
    </w:p>
    <w:p w14:paraId="27C4F078" w14:textId="7FA21DF9" w:rsidR="00AF5828" w:rsidRDefault="00AF5828" w:rsidP="00AF5828">
      <w:pPr>
        <w:rPr>
          <w:rFonts w:cstheme="minorHAnsi"/>
        </w:rPr>
      </w:pPr>
      <w:r>
        <w:rPr>
          <w:rFonts w:cstheme="minorHAnsi"/>
        </w:rPr>
        <w:t xml:space="preserve">V Praze, dne </w:t>
      </w:r>
      <w:r w:rsidR="00184E87">
        <w:rPr>
          <w:rFonts w:cstheme="minorHAnsi"/>
        </w:rPr>
        <w:t>17</w:t>
      </w:r>
      <w:r>
        <w:rPr>
          <w:rFonts w:cstheme="minorHAnsi"/>
        </w:rPr>
        <w:t xml:space="preserve">. </w:t>
      </w:r>
      <w:r w:rsidR="00184E87">
        <w:rPr>
          <w:rFonts w:cstheme="minorHAnsi"/>
        </w:rPr>
        <w:t>května</w:t>
      </w:r>
      <w:r>
        <w:rPr>
          <w:rFonts w:cstheme="minorHAnsi"/>
        </w:rPr>
        <w:t xml:space="preserve"> 2022</w:t>
      </w:r>
    </w:p>
    <w:p w14:paraId="494A043C" w14:textId="77777777" w:rsidR="00AF5828" w:rsidRDefault="00AF5828" w:rsidP="00AF5828">
      <w:pPr>
        <w:rPr>
          <w:rFonts w:cstheme="minorHAnsi"/>
        </w:rPr>
      </w:pPr>
    </w:p>
    <w:p w14:paraId="37914711" w14:textId="77777777" w:rsidR="00AF5828" w:rsidRDefault="00AF5828" w:rsidP="00AF5828">
      <w:pPr>
        <w:rPr>
          <w:rFonts w:cstheme="minorHAnsi"/>
        </w:rPr>
      </w:pPr>
      <w:r>
        <w:rPr>
          <w:rFonts w:cstheme="minorHAnsi"/>
        </w:rPr>
        <w:t>Mgr. Viktor Vodička</w:t>
      </w:r>
    </w:p>
    <w:p w14:paraId="5B6025C6" w14:textId="77777777" w:rsidR="00AF5828" w:rsidRPr="00FB11A6" w:rsidRDefault="00AF5828" w:rsidP="00AF5828">
      <w:pPr>
        <w:rPr>
          <w:rFonts w:cstheme="minorHAnsi"/>
        </w:rPr>
      </w:pPr>
      <w:r>
        <w:rPr>
          <w:rFonts w:cstheme="minorHAnsi"/>
        </w:rPr>
        <w:t>ředitel</w:t>
      </w:r>
    </w:p>
    <w:p w14:paraId="12960B87" w14:textId="77777777" w:rsidR="00AF5828" w:rsidRDefault="00AF5828" w:rsidP="00AF5828"/>
    <w:p w14:paraId="2BCBDE49" w14:textId="77777777" w:rsidR="005E75C8" w:rsidRDefault="005E75C8"/>
    <w:sectPr w:rsidR="005E75C8">
      <w:headerReference w:type="default" r:id="rId24"/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91C86" w14:textId="77777777" w:rsidR="00E73C00" w:rsidRDefault="00E73C00" w:rsidP="00AF5828">
      <w:pPr>
        <w:spacing w:after="0" w:line="240" w:lineRule="auto"/>
      </w:pPr>
      <w:r>
        <w:separator/>
      </w:r>
    </w:p>
  </w:endnote>
  <w:endnote w:type="continuationSeparator" w:id="0">
    <w:p w14:paraId="1254F6CB" w14:textId="77777777" w:rsidR="00E73C00" w:rsidRDefault="00E73C00" w:rsidP="00AF5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8A04A" w14:textId="77777777" w:rsidR="005853A4" w:rsidRDefault="00617AA0">
    <w:pPr>
      <w:pStyle w:val="Zpat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EA3394" wp14:editId="40C9B63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Obdélní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60BB19B" id="Obdélník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Str.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  \* MERGEFORMAT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468DD" w14:textId="77777777" w:rsidR="00E73C00" w:rsidRDefault="00E73C00" w:rsidP="00AF5828">
      <w:pPr>
        <w:spacing w:after="0" w:line="240" w:lineRule="auto"/>
      </w:pPr>
      <w:r>
        <w:separator/>
      </w:r>
    </w:p>
  </w:footnote>
  <w:footnote w:type="continuationSeparator" w:id="0">
    <w:p w14:paraId="2A959A57" w14:textId="77777777" w:rsidR="00E73C00" w:rsidRDefault="00E73C00" w:rsidP="00AF5828">
      <w:pPr>
        <w:spacing w:after="0" w:line="240" w:lineRule="auto"/>
      </w:pPr>
      <w:r>
        <w:continuationSeparator/>
      </w:r>
    </w:p>
  </w:footnote>
  <w:footnote w:id="1">
    <w:p w14:paraId="7AB76FF9" w14:textId="57BC061F" w:rsidR="003B41A0" w:rsidRDefault="003B41A0">
      <w:pPr>
        <w:pStyle w:val="Textpoznpodarou"/>
      </w:pPr>
      <w:r>
        <w:rPr>
          <w:rStyle w:val="Znakapoznpodarou"/>
        </w:rPr>
        <w:footnoteRef/>
      </w:r>
      <w:r>
        <w:t xml:space="preserve"> na výběr bylo 10 možností</w:t>
      </w:r>
      <w:r w:rsidR="00A63069">
        <w:t xml:space="preserve"> (</w:t>
      </w:r>
      <w:r w:rsidR="00534FF6">
        <w:t>n</w:t>
      </w:r>
      <w:r w:rsidR="00534FF6" w:rsidRPr="00534FF6">
        <w:t>afta</w:t>
      </w:r>
      <w:r w:rsidR="00534FF6">
        <w:t xml:space="preserve">, plyn, </w:t>
      </w:r>
      <w:r w:rsidR="00F76D12">
        <w:t xml:space="preserve">uhlí, nukleární energie, palmový olej, geneticky modifikované organismy, </w:t>
      </w:r>
      <w:r w:rsidR="00541B0E">
        <w:t xml:space="preserve">pesticidy a biocidy, krmivo pro zvířata, testování na zvířatech a </w:t>
      </w:r>
      <w:r w:rsidR="00314898">
        <w:t xml:space="preserve">porušování </w:t>
      </w:r>
      <w:r w:rsidR="000C3D56">
        <w:t xml:space="preserve">ekologických </w:t>
      </w:r>
      <w:r w:rsidR="00314898">
        <w:t xml:space="preserve">norem </w:t>
      </w:r>
      <w:r w:rsidR="000C3D56">
        <w:t>v dodavatelském řetězci)</w:t>
      </w:r>
    </w:p>
  </w:footnote>
  <w:footnote w:id="2">
    <w:p w14:paraId="35323D2E" w14:textId="558AC541" w:rsidR="000C3D56" w:rsidRDefault="000C3D56">
      <w:pPr>
        <w:pStyle w:val="Textpoznpodarou"/>
      </w:pPr>
      <w:r>
        <w:rPr>
          <w:rStyle w:val="Znakapoznpodarou"/>
        </w:rPr>
        <w:footnoteRef/>
      </w:r>
      <w:r>
        <w:t xml:space="preserve"> na výběr bylo 9 možností (</w:t>
      </w:r>
      <w:r w:rsidR="00F93A54">
        <w:t>p</w:t>
      </w:r>
      <w:r w:rsidR="00F93A54" w:rsidRPr="00F93A54">
        <w:t>orušování lidských práv v dodavatelském řetězci</w:t>
      </w:r>
      <w:r w:rsidR="00F93A54">
        <w:t>, p</w:t>
      </w:r>
      <w:r w:rsidR="00F93A54" w:rsidRPr="00F93A54">
        <w:t>orušování pracovních práv v dodavatelském řetězci</w:t>
      </w:r>
      <w:r w:rsidR="00E87068">
        <w:t>, p</w:t>
      </w:r>
      <w:r w:rsidR="00E87068" w:rsidRPr="00E87068">
        <w:t>orušení principů Global Compact OSN</w:t>
      </w:r>
      <w:r w:rsidR="00E87068">
        <w:t xml:space="preserve">, </w:t>
      </w:r>
      <w:r w:rsidR="005F653C">
        <w:t>s</w:t>
      </w:r>
      <w:r w:rsidR="005F653C" w:rsidRPr="005F653C">
        <w:t>polečnosti bez žen ve vedení</w:t>
      </w:r>
      <w:r w:rsidR="005F653C">
        <w:t>, n</w:t>
      </w:r>
      <w:r w:rsidR="005F653C" w:rsidRPr="005F653C">
        <w:t>ezveřejňování platů ředitelů</w:t>
      </w:r>
      <w:r w:rsidR="005F653C">
        <w:t xml:space="preserve">, </w:t>
      </w:r>
      <w:r w:rsidR="00AE7B0F">
        <w:t>k</w:t>
      </w:r>
      <w:r w:rsidR="00AE7B0F" w:rsidRPr="00AE7B0F">
        <w:t>ontroverze v oblasti korupce</w:t>
      </w:r>
      <w:r w:rsidR="00AE7B0F">
        <w:t>, s</w:t>
      </w:r>
      <w:r w:rsidR="00AE7B0F" w:rsidRPr="00AE7B0F">
        <w:t>trategie vyhýbání se daňovým povinnostem a zjištěná porušení předpisů</w:t>
      </w:r>
      <w:r w:rsidR="003A3E3D">
        <w:t>, p</w:t>
      </w:r>
      <w:r w:rsidR="003A3E3D" w:rsidRPr="003A3E3D">
        <w:t>rotisoutěžní chování</w:t>
      </w:r>
      <w:r w:rsidR="003A3E3D">
        <w:t xml:space="preserve"> a ú</w:t>
      </w:r>
      <w:r w:rsidR="003A3E3D" w:rsidRPr="003A3E3D">
        <w:t>četní podvody</w:t>
      </w:r>
      <w:r w:rsidR="003A3E3D">
        <w:t>)</w:t>
      </w:r>
    </w:p>
  </w:footnote>
  <w:footnote w:id="3">
    <w:p w14:paraId="672264CA" w14:textId="6B892EAB" w:rsidR="003A3E3D" w:rsidRDefault="003A3E3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344ACD">
        <w:t xml:space="preserve">na výběr bylo 12 možností (potraty, antikoncepce, </w:t>
      </w:r>
      <w:r w:rsidR="00261E52">
        <w:t xml:space="preserve">kmenové buňky, tabák, alkohol, konopí, cukr, </w:t>
      </w:r>
      <w:r w:rsidR="002C0ED9">
        <w:t>náboženská dietní omezení, hazardní hry, pornografie, sex a násilí v médiích a zbraně)</w:t>
      </w:r>
    </w:p>
  </w:footnote>
  <w:footnote w:id="4">
    <w:p w14:paraId="0A7DDBC6" w14:textId="25A32100" w:rsidR="00A977FA" w:rsidRDefault="00A977FA">
      <w:pPr>
        <w:pStyle w:val="Textpoznpodarou"/>
      </w:pPr>
      <w:r>
        <w:rPr>
          <w:rStyle w:val="Znakapoznpodarou"/>
        </w:rPr>
        <w:footnoteRef/>
      </w:r>
      <w:r>
        <w:t xml:space="preserve"> na výběr bylo </w:t>
      </w:r>
      <w:r w:rsidR="00D10D24">
        <w:t>12 možností (o</w:t>
      </w:r>
      <w:r w:rsidR="00D10D24" w:rsidRPr="00D10D24">
        <w:t>bnovitelná energie</w:t>
      </w:r>
      <w:r w:rsidR="00D10D24">
        <w:t xml:space="preserve">, </w:t>
      </w:r>
      <w:r w:rsidR="00B43D94">
        <w:t>e</w:t>
      </w:r>
      <w:r w:rsidR="00B43D94" w:rsidRPr="00B43D94">
        <w:t>nergetická účinnost</w:t>
      </w:r>
      <w:r w:rsidR="00B43D94">
        <w:t>, ú</w:t>
      </w:r>
      <w:r w:rsidR="00B43D94" w:rsidRPr="00B43D94">
        <w:t>činnost zdrojů</w:t>
      </w:r>
      <w:r w:rsidR="00B43D94">
        <w:t xml:space="preserve">, </w:t>
      </w:r>
      <w:r w:rsidR="00735A70">
        <w:t>s</w:t>
      </w:r>
      <w:r w:rsidR="00735A70" w:rsidRPr="00735A70">
        <w:t>nížení znečištění</w:t>
      </w:r>
      <w:r w:rsidR="00735A70">
        <w:t>, č</w:t>
      </w:r>
      <w:r w:rsidR="00735A70" w:rsidRPr="00735A70">
        <w:t>istá voda</w:t>
      </w:r>
      <w:r w:rsidR="00735A70">
        <w:t>, u</w:t>
      </w:r>
      <w:r w:rsidR="00735A70" w:rsidRPr="00735A70">
        <w:t>držitelné lesnictví</w:t>
      </w:r>
      <w:r w:rsidR="00735A70">
        <w:t xml:space="preserve">, </w:t>
      </w:r>
      <w:r w:rsidR="00390E37">
        <w:t>p</w:t>
      </w:r>
      <w:r w:rsidR="00390E37" w:rsidRPr="00390E37">
        <w:t>ohoda zvířat</w:t>
      </w:r>
      <w:r w:rsidR="00390E37">
        <w:t>, p</w:t>
      </w:r>
      <w:r w:rsidR="00390E37" w:rsidRPr="00390E37">
        <w:t>éče o děti a výchova</w:t>
      </w:r>
      <w:r w:rsidR="00390E37">
        <w:t>, z</w:t>
      </w:r>
      <w:r w:rsidR="00390E37" w:rsidRPr="00390E37">
        <w:t>draví</w:t>
      </w:r>
      <w:r w:rsidR="00390E37">
        <w:t>, výživa</w:t>
      </w:r>
      <w:r w:rsidR="00BF35EC">
        <w:t>, s</w:t>
      </w:r>
      <w:r w:rsidR="00BF35EC" w:rsidRPr="00BF35EC">
        <w:t>nížení chudoby a základní potřeby</w:t>
      </w:r>
      <w:r w:rsidR="00BF35EC">
        <w:t xml:space="preserve"> a p</w:t>
      </w:r>
      <w:r w:rsidR="00BF35EC" w:rsidRPr="00BF35EC">
        <w:t>éče o stáří</w:t>
      </w:r>
      <w:r w:rsidR="00BF35EC">
        <w:t>)</w:t>
      </w:r>
    </w:p>
  </w:footnote>
  <w:footnote w:id="5">
    <w:p w14:paraId="7CF9304D" w14:textId="5E5111DD" w:rsidR="00922133" w:rsidRDefault="00922133">
      <w:pPr>
        <w:pStyle w:val="Textpoznpodarou"/>
      </w:pPr>
      <w:r>
        <w:rPr>
          <w:rStyle w:val="Znakapoznpodarou"/>
        </w:rPr>
        <w:footnoteRef/>
      </w:r>
      <w:r>
        <w:t xml:space="preserve"> na výběr bylo </w:t>
      </w:r>
      <w:r w:rsidR="0058784A">
        <w:t>17 cílů udržitelného rozvoje OSN</w:t>
      </w:r>
      <w:r w:rsidR="00F47AD1">
        <w:t xml:space="preserve"> (s</w:t>
      </w:r>
      <w:r w:rsidR="00F47AD1" w:rsidRPr="00F47AD1">
        <w:t>nížit chudobu</w:t>
      </w:r>
      <w:r w:rsidR="00F47AD1">
        <w:t xml:space="preserve">, </w:t>
      </w:r>
      <w:r w:rsidR="00FC35DE">
        <w:t>s</w:t>
      </w:r>
      <w:r w:rsidR="00FC35DE" w:rsidRPr="00FC35DE">
        <w:t>nížit hlad</w:t>
      </w:r>
      <w:r w:rsidR="00FC35DE">
        <w:t>, p</w:t>
      </w:r>
      <w:r w:rsidR="00FC35DE" w:rsidRPr="00FC35DE">
        <w:t>odporovat zdraví</w:t>
      </w:r>
      <w:r w:rsidR="00FC35DE">
        <w:t>, p</w:t>
      </w:r>
      <w:r w:rsidR="00FC35DE" w:rsidRPr="00FC35DE">
        <w:t>odporovat vzdělání</w:t>
      </w:r>
      <w:r w:rsidR="00FC35DE">
        <w:t xml:space="preserve">, </w:t>
      </w:r>
      <w:r w:rsidR="00D928D6">
        <w:t>p</w:t>
      </w:r>
      <w:r w:rsidR="00D928D6" w:rsidRPr="00D928D6">
        <w:t>odporovat rovnost pohlaví</w:t>
      </w:r>
      <w:r w:rsidR="00D928D6">
        <w:t>, p</w:t>
      </w:r>
      <w:r w:rsidR="00D928D6" w:rsidRPr="00D928D6">
        <w:t>odporovat čistou pitnou vodu a hygienu po celém světě</w:t>
      </w:r>
      <w:r w:rsidR="00D928D6">
        <w:t xml:space="preserve">, </w:t>
      </w:r>
      <w:r w:rsidR="000C0E11">
        <w:t>p</w:t>
      </w:r>
      <w:r w:rsidR="000C0E11" w:rsidRPr="000C0E11">
        <w:t>odporovat obnovitelné zdroje energie</w:t>
      </w:r>
      <w:r w:rsidR="000C0E11">
        <w:t>, p</w:t>
      </w:r>
      <w:r w:rsidR="000C0E11" w:rsidRPr="000C0E11">
        <w:t>odporovat udržitelný hospodářský růst a důstojnou práci</w:t>
      </w:r>
      <w:r w:rsidR="000C0E11">
        <w:t>, p</w:t>
      </w:r>
      <w:r w:rsidR="000C0E11" w:rsidRPr="000C0E11">
        <w:t>odporovat udržitelnou infrastrukturu a inovace</w:t>
      </w:r>
      <w:r w:rsidR="000C0E11">
        <w:t xml:space="preserve">, </w:t>
      </w:r>
      <w:r w:rsidR="00AD0D9D">
        <w:t>s</w:t>
      </w:r>
      <w:r w:rsidR="00AD0D9D" w:rsidRPr="00AD0D9D">
        <w:t>nížit nerovnosti</w:t>
      </w:r>
      <w:r w:rsidR="00AD0D9D">
        <w:t>, p</w:t>
      </w:r>
      <w:r w:rsidR="00AD0D9D" w:rsidRPr="00AD0D9D">
        <w:t>odporovat udržitelnou výstavbu a renovaci</w:t>
      </w:r>
      <w:r w:rsidR="00AD0D9D">
        <w:t xml:space="preserve">, </w:t>
      </w:r>
      <w:r w:rsidR="00F31B79">
        <w:t>p</w:t>
      </w:r>
      <w:r w:rsidR="00F31B79" w:rsidRPr="00F31B79">
        <w:t>odporovat udržitelné produkty</w:t>
      </w:r>
      <w:r w:rsidR="00F31B79">
        <w:t>, p</w:t>
      </w:r>
      <w:r w:rsidR="00F31B79" w:rsidRPr="00F31B79">
        <w:t>odporovat ochranu klimatu</w:t>
      </w:r>
      <w:r w:rsidR="00F31B79">
        <w:t>, z</w:t>
      </w:r>
      <w:r w:rsidR="00F31B79" w:rsidRPr="00F31B79">
        <w:t>lepšit kvalitu vody a rybí populace</w:t>
      </w:r>
      <w:r w:rsidR="00F31B79">
        <w:t xml:space="preserve">, </w:t>
      </w:r>
      <w:r w:rsidR="0070768A">
        <w:t>z</w:t>
      </w:r>
      <w:r w:rsidR="0070768A" w:rsidRPr="0070768A">
        <w:t>lepšit ochranu přírody a biologickou rozmanitost</w:t>
      </w:r>
      <w:r w:rsidR="0070768A">
        <w:t>, p</w:t>
      </w:r>
      <w:r w:rsidR="0070768A" w:rsidRPr="0070768A">
        <w:t>odporovat mír, spravedlnost a silné instituce</w:t>
      </w:r>
      <w:r w:rsidR="0070768A">
        <w:t xml:space="preserve"> a p</w:t>
      </w:r>
      <w:r w:rsidR="0070768A" w:rsidRPr="0070768A">
        <w:t>odporovat partnerství pro udržitelný rozvoj</w:t>
      </w:r>
      <w:r w:rsidR="0070768A"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640DC" w14:textId="77777777" w:rsidR="009A1A96" w:rsidRDefault="00617AA0">
    <w:pPr>
      <w:pStyle w:val="Zhlav"/>
    </w:pPr>
    <w:r>
      <w:rPr>
        <w:noProof/>
      </w:rPr>
      <w:drawing>
        <wp:inline distT="0" distB="0" distL="0" distR="0" wp14:anchorId="402FB2FE" wp14:editId="00F27E76">
          <wp:extent cx="1763486" cy="5810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205" cy="581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F6BEB"/>
    <w:multiLevelType w:val="hybridMultilevel"/>
    <w:tmpl w:val="81E23C56"/>
    <w:lvl w:ilvl="0" w:tplc="F18E7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278E4"/>
    <w:multiLevelType w:val="hybridMultilevel"/>
    <w:tmpl w:val="4E268610"/>
    <w:lvl w:ilvl="0" w:tplc="04050009">
      <w:start w:val="1"/>
      <w:numFmt w:val="bullet"/>
      <w:lvlText w:val=""/>
      <w:lvlJc w:val="left"/>
      <w:pPr>
        <w:ind w:left="14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 w15:restartNumberingAfterBreak="0">
    <w:nsid w:val="742740DF"/>
    <w:multiLevelType w:val="hybridMultilevel"/>
    <w:tmpl w:val="5DBC8F00"/>
    <w:lvl w:ilvl="0" w:tplc="B06E1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E66DF"/>
    <w:multiLevelType w:val="hybridMultilevel"/>
    <w:tmpl w:val="5B28991E"/>
    <w:lvl w:ilvl="0" w:tplc="281ACB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4330016">
    <w:abstractNumId w:val="3"/>
  </w:num>
  <w:num w:numId="2" w16cid:durableId="1293361876">
    <w:abstractNumId w:val="2"/>
  </w:num>
  <w:num w:numId="3" w16cid:durableId="722797973">
    <w:abstractNumId w:val="1"/>
  </w:num>
  <w:num w:numId="4" w16cid:durableId="2052797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828"/>
    <w:rsid w:val="000005AE"/>
    <w:rsid w:val="00000830"/>
    <w:rsid w:val="00001B62"/>
    <w:rsid w:val="000051CE"/>
    <w:rsid w:val="000103E0"/>
    <w:rsid w:val="00010959"/>
    <w:rsid w:val="00015196"/>
    <w:rsid w:val="00020F00"/>
    <w:rsid w:val="00022C75"/>
    <w:rsid w:val="00034466"/>
    <w:rsid w:val="0003575B"/>
    <w:rsid w:val="00035B86"/>
    <w:rsid w:val="000373A4"/>
    <w:rsid w:val="000414E5"/>
    <w:rsid w:val="00044682"/>
    <w:rsid w:val="00050454"/>
    <w:rsid w:val="000510E0"/>
    <w:rsid w:val="000511B0"/>
    <w:rsid w:val="00051763"/>
    <w:rsid w:val="00052059"/>
    <w:rsid w:val="000645AE"/>
    <w:rsid w:val="00071221"/>
    <w:rsid w:val="00074004"/>
    <w:rsid w:val="0007581F"/>
    <w:rsid w:val="000766A8"/>
    <w:rsid w:val="00090521"/>
    <w:rsid w:val="0009285A"/>
    <w:rsid w:val="00094B2C"/>
    <w:rsid w:val="0009760F"/>
    <w:rsid w:val="000A1342"/>
    <w:rsid w:val="000A50CD"/>
    <w:rsid w:val="000A6AEE"/>
    <w:rsid w:val="000B0B47"/>
    <w:rsid w:val="000B6AB2"/>
    <w:rsid w:val="000C007A"/>
    <w:rsid w:val="000C0E11"/>
    <w:rsid w:val="000C3D56"/>
    <w:rsid w:val="000C694B"/>
    <w:rsid w:val="000D0201"/>
    <w:rsid w:val="000D53CF"/>
    <w:rsid w:val="000E0C0D"/>
    <w:rsid w:val="000E1458"/>
    <w:rsid w:val="001069DE"/>
    <w:rsid w:val="00113A07"/>
    <w:rsid w:val="0012084B"/>
    <w:rsid w:val="001262C1"/>
    <w:rsid w:val="001319AD"/>
    <w:rsid w:val="001357F5"/>
    <w:rsid w:val="00140FBF"/>
    <w:rsid w:val="00144E71"/>
    <w:rsid w:val="00152DBD"/>
    <w:rsid w:val="00153CE5"/>
    <w:rsid w:val="0015412D"/>
    <w:rsid w:val="001573A1"/>
    <w:rsid w:val="00162097"/>
    <w:rsid w:val="001628BB"/>
    <w:rsid w:val="00164729"/>
    <w:rsid w:val="00167D4B"/>
    <w:rsid w:val="00170C06"/>
    <w:rsid w:val="001770EA"/>
    <w:rsid w:val="00184E87"/>
    <w:rsid w:val="0019708E"/>
    <w:rsid w:val="001A7EE4"/>
    <w:rsid w:val="001C0437"/>
    <w:rsid w:val="001C07C2"/>
    <w:rsid w:val="001C3BDA"/>
    <w:rsid w:val="001C60C1"/>
    <w:rsid w:val="001D5B74"/>
    <w:rsid w:val="001D6509"/>
    <w:rsid w:val="001E18D3"/>
    <w:rsid w:val="001E290B"/>
    <w:rsid w:val="001F0A9E"/>
    <w:rsid w:val="001F53FF"/>
    <w:rsid w:val="00200331"/>
    <w:rsid w:val="00202655"/>
    <w:rsid w:val="00204E81"/>
    <w:rsid w:val="00205550"/>
    <w:rsid w:val="00211D59"/>
    <w:rsid w:val="00215031"/>
    <w:rsid w:val="00220FF4"/>
    <w:rsid w:val="00223A48"/>
    <w:rsid w:val="00224B67"/>
    <w:rsid w:val="00225059"/>
    <w:rsid w:val="002258A6"/>
    <w:rsid w:val="00240CF1"/>
    <w:rsid w:val="00241222"/>
    <w:rsid w:val="00241F67"/>
    <w:rsid w:val="002420E3"/>
    <w:rsid w:val="00247B69"/>
    <w:rsid w:val="00247E68"/>
    <w:rsid w:val="00260096"/>
    <w:rsid w:val="00261B0E"/>
    <w:rsid w:val="00261E52"/>
    <w:rsid w:val="00267FAF"/>
    <w:rsid w:val="002813E2"/>
    <w:rsid w:val="00282958"/>
    <w:rsid w:val="00282DDC"/>
    <w:rsid w:val="00287F09"/>
    <w:rsid w:val="00292570"/>
    <w:rsid w:val="0029470F"/>
    <w:rsid w:val="002A5CAD"/>
    <w:rsid w:val="002A6286"/>
    <w:rsid w:val="002A700C"/>
    <w:rsid w:val="002C0ED9"/>
    <w:rsid w:val="002C4C75"/>
    <w:rsid w:val="002D47B4"/>
    <w:rsid w:val="002E5BD4"/>
    <w:rsid w:val="002F4105"/>
    <w:rsid w:val="002F5EE1"/>
    <w:rsid w:val="00301F73"/>
    <w:rsid w:val="00305D24"/>
    <w:rsid w:val="0031047F"/>
    <w:rsid w:val="003105DD"/>
    <w:rsid w:val="003136B0"/>
    <w:rsid w:val="00314898"/>
    <w:rsid w:val="00321A52"/>
    <w:rsid w:val="003235A7"/>
    <w:rsid w:val="00323ECE"/>
    <w:rsid w:val="00326950"/>
    <w:rsid w:val="0033326C"/>
    <w:rsid w:val="00344956"/>
    <w:rsid w:val="00344ACD"/>
    <w:rsid w:val="00347970"/>
    <w:rsid w:val="003509CA"/>
    <w:rsid w:val="00354F66"/>
    <w:rsid w:val="00376EE3"/>
    <w:rsid w:val="00377278"/>
    <w:rsid w:val="00380BF8"/>
    <w:rsid w:val="0038637D"/>
    <w:rsid w:val="00390E37"/>
    <w:rsid w:val="00392123"/>
    <w:rsid w:val="003928FD"/>
    <w:rsid w:val="00392B42"/>
    <w:rsid w:val="003945AC"/>
    <w:rsid w:val="0039646A"/>
    <w:rsid w:val="003A02EC"/>
    <w:rsid w:val="003A0BCB"/>
    <w:rsid w:val="003A1B3A"/>
    <w:rsid w:val="003A3E3D"/>
    <w:rsid w:val="003A7670"/>
    <w:rsid w:val="003B41A0"/>
    <w:rsid w:val="003B558A"/>
    <w:rsid w:val="003E2289"/>
    <w:rsid w:val="003E58BE"/>
    <w:rsid w:val="00410724"/>
    <w:rsid w:val="004109AD"/>
    <w:rsid w:val="00421A05"/>
    <w:rsid w:val="004250E6"/>
    <w:rsid w:val="00431390"/>
    <w:rsid w:val="00431C51"/>
    <w:rsid w:val="004377CE"/>
    <w:rsid w:val="0044031D"/>
    <w:rsid w:val="0044238F"/>
    <w:rsid w:val="004450C3"/>
    <w:rsid w:val="00445B92"/>
    <w:rsid w:val="00447846"/>
    <w:rsid w:val="00452E5D"/>
    <w:rsid w:val="0045507F"/>
    <w:rsid w:val="004568C3"/>
    <w:rsid w:val="00457FC4"/>
    <w:rsid w:val="00497234"/>
    <w:rsid w:val="004A2021"/>
    <w:rsid w:val="004A2C5A"/>
    <w:rsid w:val="004B12EB"/>
    <w:rsid w:val="004B1FFB"/>
    <w:rsid w:val="004B4B1F"/>
    <w:rsid w:val="004B7A4B"/>
    <w:rsid w:val="004B7AE7"/>
    <w:rsid w:val="004C14F6"/>
    <w:rsid w:val="004C299F"/>
    <w:rsid w:val="004C2D26"/>
    <w:rsid w:val="004C6F68"/>
    <w:rsid w:val="004D3E49"/>
    <w:rsid w:val="004E0DC3"/>
    <w:rsid w:val="004E1BFC"/>
    <w:rsid w:val="004E42B8"/>
    <w:rsid w:val="004E74C2"/>
    <w:rsid w:val="004F4497"/>
    <w:rsid w:val="004F66C0"/>
    <w:rsid w:val="00500CA3"/>
    <w:rsid w:val="00510F8F"/>
    <w:rsid w:val="00517655"/>
    <w:rsid w:val="00517DC0"/>
    <w:rsid w:val="00531CDB"/>
    <w:rsid w:val="0053499B"/>
    <w:rsid w:val="00534FF6"/>
    <w:rsid w:val="005358F2"/>
    <w:rsid w:val="00541B0E"/>
    <w:rsid w:val="00541CBF"/>
    <w:rsid w:val="005428A1"/>
    <w:rsid w:val="00545A78"/>
    <w:rsid w:val="00547B1B"/>
    <w:rsid w:val="0055613A"/>
    <w:rsid w:val="00576838"/>
    <w:rsid w:val="00581F41"/>
    <w:rsid w:val="0058468E"/>
    <w:rsid w:val="0058784A"/>
    <w:rsid w:val="00590DFB"/>
    <w:rsid w:val="005A19D5"/>
    <w:rsid w:val="005A27D5"/>
    <w:rsid w:val="005A530F"/>
    <w:rsid w:val="005B27F7"/>
    <w:rsid w:val="005E07C2"/>
    <w:rsid w:val="005E75C8"/>
    <w:rsid w:val="005F0918"/>
    <w:rsid w:val="005F653C"/>
    <w:rsid w:val="005F6A0F"/>
    <w:rsid w:val="005F6D46"/>
    <w:rsid w:val="006014CF"/>
    <w:rsid w:val="00604864"/>
    <w:rsid w:val="00606A58"/>
    <w:rsid w:val="00611225"/>
    <w:rsid w:val="0061741F"/>
    <w:rsid w:val="00617AA0"/>
    <w:rsid w:val="00636B1D"/>
    <w:rsid w:val="00637BCE"/>
    <w:rsid w:val="0064039F"/>
    <w:rsid w:val="00640A96"/>
    <w:rsid w:val="00644E53"/>
    <w:rsid w:val="0065048C"/>
    <w:rsid w:val="00672132"/>
    <w:rsid w:val="00676CAB"/>
    <w:rsid w:val="00676E99"/>
    <w:rsid w:val="00686352"/>
    <w:rsid w:val="0069396A"/>
    <w:rsid w:val="00694583"/>
    <w:rsid w:val="006A0575"/>
    <w:rsid w:val="006A785C"/>
    <w:rsid w:val="006C373A"/>
    <w:rsid w:val="006E38FA"/>
    <w:rsid w:val="006F1AE7"/>
    <w:rsid w:val="006F6941"/>
    <w:rsid w:val="0070768A"/>
    <w:rsid w:val="00714C4B"/>
    <w:rsid w:val="00715A42"/>
    <w:rsid w:val="0071624F"/>
    <w:rsid w:val="00722025"/>
    <w:rsid w:val="00731F60"/>
    <w:rsid w:val="0073494C"/>
    <w:rsid w:val="00735A70"/>
    <w:rsid w:val="00762CBD"/>
    <w:rsid w:val="00766970"/>
    <w:rsid w:val="00777548"/>
    <w:rsid w:val="00781500"/>
    <w:rsid w:val="00785F45"/>
    <w:rsid w:val="00790E59"/>
    <w:rsid w:val="007B609C"/>
    <w:rsid w:val="007C04EE"/>
    <w:rsid w:val="007C1E52"/>
    <w:rsid w:val="007C4338"/>
    <w:rsid w:val="007C5A12"/>
    <w:rsid w:val="007C5CD1"/>
    <w:rsid w:val="007D3C2A"/>
    <w:rsid w:val="007D657D"/>
    <w:rsid w:val="007E7D23"/>
    <w:rsid w:val="007F30DC"/>
    <w:rsid w:val="007F66E2"/>
    <w:rsid w:val="007F6873"/>
    <w:rsid w:val="007F7671"/>
    <w:rsid w:val="00802E16"/>
    <w:rsid w:val="008059DA"/>
    <w:rsid w:val="0081281A"/>
    <w:rsid w:val="008169BC"/>
    <w:rsid w:val="00821666"/>
    <w:rsid w:val="00831415"/>
    <w:rsid w:val="00831CFC"/>
    <w:rsid w:val="00840F73"/>
    <w:rsid w:val="008427AC"/>
    <w:rsid w:val="00843CB6"/>
    <w:rsid w:val="00851F77"/>
    <w:rsid w:val="00862768"/>
    <w:rsid w:val="00873BE1"/>
    <w:rsid w:val="00876641"/>
    <w:rsid w:val="00886296"/>
    <w:rsid w:val="00886EDA"/>
    <w:rsid w:val="00895408"/>
    <w:rsid w:val="008A05B1"/>
    <w:rsid w:val="008A2F2A"/>
    <w:rsid w:val="008B3079"/>
    <w:rsid w:val="008B42F3"/>
    <w:rsid w:val="008B71C5"/>
    <w:rsid w:val="008C33CD"/>
    <w:rsid w:val="008C3501"/>
    <w:rsid w:val="008C7882"/>
    <w:rsid w:val="008D001E"/>
    <w:rsid w:val="008D198C"/>
    <w:rsid w:val="008E30D6"/>
    <w:rsid w:val="00900A16"/>
    <w:rsid w:val="00906CAA"/>
    <w:rsid w:val="00907EF2"/>
    <w:rsid w:val="00913B3F"/>
    <w:rsid w:val="0091607F"/>
    <w:rsid w:val="00916FE4"/>
    <w:rsid w:val="00922133"/>
    <w:rsid w:val="00924ADA"/>
    <w:rsid w:val="0092501A"/>
    <w:rsid w:val="00930326"/>
    <w:rsid w:val="009320BF"/>
    <w:rsid w:val="00934523"/>
    <w:rsid w:val="00940D04"/>
    <w:rsid w:val="00942BD7"/>
    <w:rsid w:val="0094391E"/>
    <w:rsid w:val="00954AB8"/>
    <w:rsid w:val="00960CE9"/>
    <w:rsid w:val="0096438C"/>
    <w:rsid w:val="009666EC"/>
    <w:rsid w:val="009726A9"/>
    <w:rsid w:val="009742B3"/>
    <w:rsid w:val="0098285F"/>
    <w:rsid w:val="00990A88"/>
    <w:rsid w:val="00992CDF"/>
    <w:rsid w:val="009A1012"/>
    <w:rsid w:val="009A22A9"/>
    <w:rsid w:val="009B52CC"/>
    <w:rsid w:val="009B5F3E"/>
    <w:rsid w:val="009B72DA"/>
    <w:rsid w:val="009C6BCD"/>
    <w:rsid w:val="009C7ABF"/>
    <w:rsid w:val="009D25AE"/>
    <w:rsid w:val="009D6236"/>
    <w:rsid w:val="009E14CB"/>
    <w:rsid w:val="009E6497"/>
    <w:rsid w:val="009E6E41"/>
    <w:rsid w:val="009F5331"/>
    <w:rsid w:val="00A0056F"/>
    <w:rsid w:val="00A17149"/>
    <w:rsid w:val="00A2261C"/>
    <w:rsid w:val="00A231AB"/>
    <w:rsid w:val="00A27323"/>
    <w:rsid w:val="00A27D07"/>
    <w:rsid w:val="00A447AC"/>
    <w:rsid w:val="00A46D7A"/>
    <w:rsid w:val="00A507BE"/>
    <w:rsid w:val="00A511A1"/>
    <w:rsid w:val="00A63069"/>
    <w:rsid w:val="00A644F6"/>
    <w:rsid w:val="00A67917"/>
    <w:rsid w:val="00A76769"/>
    <w:rsid w:val="00A76A82"/>
    <w:rsid w:val="00A778F8"/>
    <w:rsid w:val="00A8130E"/>
    <w:rsid w:val="00A87135"/>
    <w:rsid w:val="00A94044"/>
    <w:rsid w:val="00A977FA"/>
    <w:rsid w:val="00AA3B95"/>
    <w:rsid w:val="00AB0186"/>
    <w:rsid w:val="00AB1A72"/>
    <w:rsid w:val="00AB1D65"/>
    <w:rsid w:val="00AB63B6"/>
    <w:rsid w:val="00AC2F85"/>
    <w:rsid w:val="00AD0D9D"/>
    <w:rsid w:val="00AD7578"/>
    <w:rsid w:val="00AE2ACC"/>
    <w:rsid w:val="00AE7B0F"/>
    <w:rsid w:val="00AF1CAF"/>
    <w:rsid w:val="00AF42F1"/>
    <w:rsid w:val="00AF5828"/>
    <w:rsid w:val="00AF6538"/>
    <w:rsid w:val="00B070A1"/>
    <w:rsid w:val="00B21E8C"/>
    <w:rsid w:val="00B312BD"/>
    <w:rsid w:val="00B334E2"/>
    <w:rsid w:val="00B34980"/>
    <w:rsid w:val="00B3551F"/>
    <w:rsid w:val="00B40836"/>
    <w:rsid w:val="00B43D94"/>
    <w:rsid w:val="00B52377"/>
    <w:rsid w:val="00B523B6"/>
    <w:rsid w:val="00B53C6A"/>
    <w:rsid w:val="00B60766"/>
    <w:rsid w:val="00B627AC"/>
    <w:rsid w:val="00B714D2"/>
    <w:rsid w:val="00B82C50"/>
    <w:rsid w:val="00B8317A"/>
    <w:rsid w:val="00B94315"/>
    <w:rsid w:val="00BA3168"/>
    <w:rsid w:val="00BA4BFB"/>
    <w:rsid w:val="00BB0C08"/>
    <w:rsid w:val="00BB29DD"/>
    <w:rsid w:val="00BB6BA9"/>
    <w:rsid w:val="00BB7654"/>
    <w:rsid w:val="00BC382C"/>
    <w:rsid w:val="00BC674F"/>
    <w:rsid w:val="00BD3B2F"/>
    <w:rsid w:val="00BD7693"/>
    <w:rsid w:val="00BE1FB5"/>
    <w:rsid w:val="00BE584A"/>
    <w:rsid w:val="00BE7542"/>
    <w:rsid w:val="00BF10F8"/>
    <w:rsid w:val="00BF35EC"/>
    <w:rsid w:val="00BF577E"/>
    <w:rsid w:val="00C00562"/>
    <w:rsid w:val="00C1567A"/>
    <w:rsid w:val="00C1631C"/>
    <w:rsid w:val="00C20331"/>
    <w:rsid w:val="00C20997"/>
    <w:rsid w:val="00C3109B"/>
    <w:rsid w:val="00C3346F"/>
    <w:rsid w:val="00C36866"/>
    <w:rsid w:val="00C4290A"/>
    <w:rsid w:val="00C552DC"/>
    <w:rsid w:val="00C70A5F"/>
    <w:rsid w:val="00C70F32"/>
    <w:rsid w:val="00C7592F"/>
    <w:rsid w:val="00C84ADF"/>
    <w:rsid w:val="00C86049"/>
    <w:rsid w:val="00C933AB"/>
    <w:rsid w:val="00CA0B82"/>
    <w:rsid w:val="00CA17B3"/>
    <w:rsid w:val="00CA2737"/>
    <w:rsid w:val="00CB1080"/>
    <w:rsid w:val="00CB41EB"/>
    <w:rsid w:val="00CC66E9"/>
    <w:rsid w:val="00CD756B"/>
    <w:rsid w:val="00CE5935"/>
    <w:rsid w:val="00CF1F2F"/>
    <w:rsid w:val="00CF517D"/>
    <w:rsid w:val="00CF6EA5"/>
    <w:rsid w:val="00D01441"/>
    <w:rsid w:val="00D025F4"/>
    <w:rsid w:val="00D10D24"/>
    <w:rsid w:val="00D1166C"/>
    <w:rsid w:val="00D129C3"/>
    <w:rsid w:val="00D13B0E"/>
    <w:rsid w:val="00D13B64"/>
    <w:rsid w:val="00D1626F"/>
    <w:rsid w:val="00D20C9C"/>
    <w:rsid w:val="00D21641"/>
    <w:rsid w:val="00D27279"/>
    <w:rsid w:val="00D27701"/>
    <w:rsid w:val="00D30343"/>
    <w:rsid w:val="00D31363"/>
    <w:rsid w:val="00D3443D"/>
    <w:rsid w:val="00D46C73"/>
    <w:rsid w:val="00D51519"/>
    <w:rsid w:val="00D5335D"/>
    <w:rsid w:val="00D53C6B"/>
    <w:rsid w:val="00D53EAB"/>
    <w:rsid w:val="00D74220"/>
    <w:rsid w:val="00D86BDB"/>
    <w:rsid w:val="00D91DE1"/>
    <w:rsid w:val="00D928D6"/>
    <w:rsid w:val="00D93FA7"/>
    <w:rsid w:val="00D9736B"/>
    <w:rsid w:val="00DA08B2"/>
    <w:rsid w:val="00DB488D"/>
    <w:rsid w:val="00DB7AE0"/>
    <w:rsid w:val="00DC05C8"/>
    <w:rsid w:val="00DE25D7"/>
    <w:rsid w:val="00DF0832"/>
    <w:rsid w:val="00DF3FE7"/>
    <w:rsid w:val="00E05E99"/>
    <w:rsid w:val="00E17A77"/>
    <w:rsid w:val="00E2030C"/>
    <w:rsid w:val="00E223C8"/>
    <w:rsid w:val="00E25729"/>
    <w:rsid w:val="00E33FBA"/>
    <w:rsid w:val="00E352DD"/>
    <w:rsid w:val="00E37A06"/>
    <w:rsid w:val="00E37C11"/>
    <w:rsid w:val="00E413D2"/>
    <w:rsid w:val="00E45744"/>
    <w:rsid w:val="00E4678E"/>
    <w:rsid w:val="00E52CE5"/>
    <w:rsid w:val="00E55AFE"/>
    <w:rsid w:val="00E61726"/>
    <w:rsid w:val="00E6629D"/>
    <w:rsid w:val="00E72BAF"/>
    <w:rsid w:val="00E73C00"/>
    <w:rsid w:val="00E74A90"/>
    <w:rsid w:val="00E83B4E"/>
    <w:rsid w:val="00E84D03"/>
    <w:rsid w:val="00E87068"/>
    <w:rsid w:val="00E934B7"/>
    <w:rsid w:val="00E9473B"/>
    <w:rsid w:val="00E94983"/>
    <w:rsid w:val="00E96ACD"/>
    <w:rsid w:val="00EA4180"/>
    <w:rsid w:val="00EB2B10"/>
    <w:rsid w:val="00EB4BD7"/>
    <w:rsid w:val="00EC135B"/>
    <w:rsid w:val="00EC3A6E"/>
    <w:rsid w:val="00EC7B6F"/>
    <w:rsid w:val="00ED1017"/>
    <w:rsid w:val="00ED6EBE"/>
    <w:rsid w:val="00EE1C53"/>
    <w:rsid w:val="00EE2BA9"/>
    <w:rsid w:val="00EE676E"/>
    <w:rsid w:val="00EF500A"/>
    <w:rsid w:val="00F05911"/>
    <w:rsid w:val="00F06241"/>
    <w:rsid w:val="00F1105D"/>
    <w:rsid w:val="00F134D1"/>
    <w:rsid w:val="00F142FA"/>
    <w:rsid w:val="00F1590E"/>
    <w:rsid w:val="00F223C4"/>
    <w:rsid w:val="00F23A8C"/>
    <w:rsid w:val="00F2422B"/>
    <w:rsid w:val="00F257AF"/>
    <w:rsid w:val="00F314E1"/>
    <w:rsid w:val="00F31B79"/>
    <w:rsid w:val="00F445B5"/>
    <w:rsid w:val="00F465E0"/>
    <w:rsid w:val="00F47AD1"/>
    <w:rsid w:val="00F50B77"/>
    <w:rsid w:val="00F539CD"/>
    <w:rsid w:val="00F5450A"/>
    <w:rsid w:val="00F57E27"/>
    <w:rsid w:val="00F60213"/>
    <w:rsid w:val="00F6249C"/>
    <w:rsid w:val="00F6390D"/>
    <w:rsid w:val="00F63A16"/>
    <w:rsid w:val="00F640AD"/>
    <w:rsid w:val="00F731F9"/>
    <w:rsid w:val="00F73668"/>
    <w:rsid w:val="00F763C7"/>
    <w:rsid w:val="00F76D12"/>
    <w:rsid w:val="00F77BF9"/>
    <w:rsid w:val="00F84E81"/>
    <w:rsid w:val="00F8673C"/>
    <w:rsid w:val="00F86D84"/>
    <w:rsid w:val="00F90C79"/>
    <w:rsid w:val="00F93A54"/>
    <w:rsid w:val="00F94C3A"/>
    <w:rsid w:val="00F95FE8"/>
    <w:rsid w:val="00FA5B9A"/>
    <w:rsid w:val="00FB3EB8"/>
    <w:rsid w:val="00FB5404"/>
    <w:rsid w:val="00FC1E64"/>
    <w:rsid w:val="00FC35DE"/>
    <w:rsid w:val="00FC47AE"/>
    <w:rsid w:val="00FD1C28"/>
    <w:rsid w:val="00FD5499"/>
    <w:rsid w:val="00FE669C"/>
    <w:rsid w:val="00FE707F"/>
    <w:rsid w:val="00FF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EA41F"/>
  <w15:chartTrackingRefBased/>
  <w15:docId w15:val="{8867660C-E865-484D-98EA-D54F26009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58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5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5828"/>
  </w:style>
  <w:style w:type="character" w:styleId="Hypertextovodkaz">
    <w:name w:val="Hyperlink"/>
    <w:basedOn w:val="Standardnpsmoodstavce"/>
    <w:uiPriority w:val="99"/>
    <w:unhideWhenUsed/>
    <w:rsid w:val="00AF5828"/>
    <w:rPr>
      <w:color w:val="0563C1" w:themeColor="hyperlink"/>
      <w:u w:val="single"/>
    </w:rPr>
  </w:style>
  <w:style w:type="paragraph" w:customStyle="1" w:styleId="-wm-msonormal">
    <w:name w:val="-wm-msonormal"/>
    <w:basedOn w:val="Normln"/>
    <w:rsid w:val="00AF5828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table" w:styleId="Mkatabulky">
    <w:name w:val="Table Grid"/>
    <w:basedOn w:val="Normlntabulka"/>
    <w:uiPriority w:val="39"/>
    <w:rsid w:val="00AF5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F582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F582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F5828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AF5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5828"/>
  </w:style>
  <w:style w:type="paragraph" w:styleId="Odstavecseseznamem">
    <w:name w:val="List Paragraph"/>
    <w:basedOn w:val="Normln"/>
    <w:uiPriority w:val="34"/>
    <w:qFormat/>
    <w:rsid w:val="009D2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2.png"/><Relationship Id="rId18" Type="http://schemas.openxmlformats.org/officeDocument/2006/relationships/chart" Target="charts/chart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8.xml"/><Relationship Id="rId7" Type="http://schemas.openxmlformats.org/officeDocument/2006/relationships/endnotes" Target="endnotes.xml"/><Relationship Id="rId12" Type="http://schemas.microsoft.com/office/2014/relationships/chartEx" Target="charts/chartEx2.xml"/><Relationship Id="rId17" Type="http://schemas.openxmlformats.org/officeDocument/2006/relationships/chart" Target="charts/chart4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chart" Target="charts/chart10.xml"/><Relationship Id="rId10" Type="http://schemas.microsoft.com/office/2014/relationships/chartEx" Target="charts/chartEx1.xml"/><Relationship Id="rId19" Type="http://schemas.openxmlformats.org/officeDocument/2006/relationships/chart" Target="charts/chart6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microsoft.com/office/2014/relationships/chartEx" Target="charts/chartEx3.xml"/><Relationship Id="rId22" Type="http://schemas.openxmlformats.org/officeDocument/2006/relationships/chart" Target="charts/chart9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https://scspraha-my.sharepoint.com/personal/vodicka_scspraha_onmicrosoft_com/Documents/S&#268;S/PROJEKTY/SUBJEKTY/EUKI/Realizace/Pr&#367;zkum/Kantar_data_vyhodnocen&#237;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https://scspraha-my.sharepoint.com/personal/vodicka_scspraha_onmicrosoft_com/Documents/S&#268;S/PROJEKTY/SUBJEKTY/EUKI/Realizace/Pr&#367;zkum/Kantar_data_vyhodnocen&#237;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https://scspraha-my.sharepoint.com/personal/vodicka_scspraha_onmicrosoft_com/Documents/S&#268;S/PROJEKTY/SUBJEKTY/EUKI/Realizace/Pr&#367;zkum/Kantar_data_vyhodnocen&#237;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https://scspraha-my.sharepoint.com/personal/vodicka_scspraha_onmicrosoft_com/Documents/S&#268;S/PROJEKTY/SUBJEKTY/EUKI/Realizace/Pr&#367;zkum/Kantar_data_vyhodnocen&#237;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https://scspraha-my.sharepoint.com/personal/vodicka_scspraha_onmicrosoft_com/Documents/S&#268;S/PROJEKTY/SUBJEKTY/EUKI/Realizace/Pr&#367;zkum/Kantar_data_vyhodnocen&#237;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https://scspraha-my.sharepoint.com/personal/vodicka_scspraha_onmicrosoft_com/Documents/S&#268;S/PROJEKTY/SUBJEKTY/EUKI/Realizace/Pr&#367;zkum/Kantar_data_vyhodnocen&#237;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3.xml"/><Relationship Id="rId2" Type="http://schemas.microsoft.com/office/2011/relationships/chartStyle" Target="style3.xml"/><Relationship Id="rId1" Type="http://schemas.openxmlformats.org/officeDocument/2006/relationships/package" Target="../embeddings/Microsoft_Excel_Worksheet2.xlsx"/></Relationships>
</file>

<file path=word/charts/_rels/chartEx2.xml.rels><?xml version="1.0" encoding="UTF-8" standalone="yes"?>
<Relationships xmlns="http://schemas.openxmlformats.org/package/2006/relationships"><Relationship Id="rId3" Type="http://schemas.microsoft.com/office/2011/relationships/chartColorStyle" Target="colors4.xml"/><Relationship Id="rId2" Type="http://schemas.microsoft.com/office/2011/relationships/chartStyle" Target="style4.xml"/><Relationship Id="rId1" Type="http://schemas.openxmlformats.org/officeDocument/2006/relationships/package" Target="../embeddings/Microsoft_Excel_Worksheet3.xlsx"/></Relationships>
</file>

<file path=word/charts/_rels/chartEx3.xml.rels><?xml version="1.0" encoding="UTF-8" standalone="yes"?>
<Relationships xmlns="http://schemas.openxmlformats.org/package/2006/relationships"><Relationship Id="rId3" Type="http://schemas.microsoft.com/office/2011/relationships/chartColorStyle" Target="colors5.xml"/><Relationship Id="rId2" Type="http://schemas.microsoft.com/office/2011/relationships/chartStyle" Target="style5.xml"/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62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100" u="sng" dirty="0"/>
              <a:t>Pohlaví</a:t>
            </a:r>
            <a:endParaRPr lang="en-US" sz="1100" u="sng" dirty="0"/>
          </a:p>
        </c:rich>
      </c:tx>
      <c:layout>
        <c:manualLayout>
          <c:xMode val="edge"/>
          <c:yMode val="edge"/>
          <c:x val="8.5902595508894702E-2"/>
          <c:y val="6.401949534058334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62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0065789473684212"/>
          <c:y val="0.37046259842519685"/>
          <c:w val="0.73026315789473684"/>
          <c:h val="0.4747478800726832"/>
        </c:manualLayout>
      </c:layout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Pohlaví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85D-44CE-9D74-F2C77FFD8DE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85D-44CE-9D74-F2C77FFD8DE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985D-44CE-9D74-F2C77FFD8DE0}"/>
              </c:ext>
            </c:extLst>
          </c:dPt>
          <c:dLbls>
            <c:dLbl>
              <c:idx val="0"/>
              <c:layout>
                <c:manualLayout>
                  <c:x val="-8.3333333333333329E-2"/>
                  <c:y val="-0.18748566492599408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1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100"/>
                      <a:t>Muži</a:t>
                    </a:r>
                    <a:r>
                      <a:rPr lang="en-US" sz="1100" baseline="0"/>
                      <a:t>
</a:t>
                    </a:r>
                    <a:fld id="{1932C375-D2AA-4FE2-872E-3C8A7803D9A8}" type="PERCENTAGE">
                      <a:rPr lang="en-US" sz="1100" baseline="0"/>
                      <a:pPr>
                        <a:defRPr sz="1100"/>
                      </a:pPr>
                      <a:t>[PROCENTO]</a:t>
                    </a:fld>
                    <a:endParaRPr lang="en-US" sz="1100" baseline="0"/>
                  </a:p>
                </c:rich>
              </c:tx>
              <c:spPr>
                <a:solidFill>
                  <a:prstClr val="white"/>
                </a:solidFill>
                <a:ln w="9525" cap="flat" cmpd="sng" algn="ctr">
                  <a:solidFill>
                    <a:prstClr val="black">
                      <a:lumMod val="25000"/>
                      <a:lumOff val="75000"/>
                    </a:prstClr>
                  </a:solidFill>
                  <a:prstDash val="solid"/>
                  <a:round/>
                  <a:headEnd type="none" w="med" len="med"/>
                  <a:tailEnd type="none" w="med" len="med"/>
                  <a:extLst>
                    <a:ext uri="{C807C97D-BFC1-408E-A445-0C87EB9F89A2}">
                      <ask:lineSketchStyleProps xmlns:ask="http://schemas.microsoft.com/office/drawing/2018/sketchyshapes" sd="0"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sk:type/>
                      </ask:lineSketchStyleProps>
                    </a:ext>
                  </a:extLst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-40265"/>
                        <a:gd name="adj2" fmla="val 104040"/>
                      </a:avLst>
                    </a:prstGeom>
                    <a:noFill/>
                    <a:ln>
                      <a:noFill/>
                    </a:ln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985D-44CE-9D74-F2C77FFD8DE0}"/>
                </c:ext>
              </c:extLst>
            </c:dLbl>
            <c:dLbl>
              <c:idx val="1"/>
              <c:layout>
                <c:manualLayout>
                  <c:x val="-1.8518518518518524E-2"/>
                  <c:y val="0"/>
                </c:manualLayout>
              </c:layout>
              <c:tx>
                <c:rich>
                  <a:bodyPr/>
                  <a:lstStyle/>
                  <a:p>
                    <a:fld id="{8BDE8FCB-3263-4A1F-8BFA-D34E09821EFE}" type="CATEGORYNAME">
                      <a:rPr lang="en-US" sz="1100"/>
                      <a:pPr/>
                      <a:t>[NÁZEV KATEGORIE]</a:t>
                    </a:fld>
                    <a:r>
                      <a:rPr lang="en-US" baseline="0"/>
                      <a:t>
</a:t>
                    </a:r>
                    <a:fld id="{726A77AC-806D-4DA2-98CE-453E18926252}" type="PERCENTAGE">
                      <a:rPr lang="en-US" baseline="0"/>
                      <a:pPr/>
                      <a:t>[PROCENTO]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985D-44CE-9D74-F2C77FFD8DE0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85D-44CE-9D74-F2C77FFD8DE0}"/>
                </c:ext>
              </c:extLst>
            </c:dLbl>
            <c:spPr>
              <a:solidFill>
                <a:prstClr val="white"/>
              </a:solidFill>
              <a:ln>
                <a:solidFill>
                  <a:prstClr val="black">
                    <a:lumMod val="25000"/>
                    <a:lumOff val="75000"/>
                  </a:prst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List1!$A$2:$A$4</c:f>
              <c:strCache>
                <c:ptCount val="3"/>
                <c:pt idx="0">
                  <c:v>Muži</c:v>
                </c:pt>
                <c:pt idx="1">
                  <c:v>Ženy</c:v>
                </c:pt>
                <c:pt idx="2">
                  <c:v>Ostatní</c:v>
                </c:pt>
              </c:strCache>
            </c:strRef>
          </c:cat>
          <c:val>
            <c:numRef>
              <c:f>List1!$B$2:$B$4</c:f>
              <c:numCache>
                <c:formatCode>General</c:formatCode>
                <c:ptCount val="3"/>
                <c:pt idx="0">
                  <c:v>481</c:v>
                </c:pt>
                <c:pt idx="1">
                  <c:v>517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85D-44CE-9D74-F2C77FFD8D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000">
                <a:effectLst/>
              </a:rPr>
              <a:t>Chcete-li splnit vámi vyjádřený cíl nebo cíle udržitelnosti, měli byste zájem investovat do finančních produktů, které obsahují takový mechanismus?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Vyhodnocení!$G$312</c:f>
              <c:strCache>
                <c:ptCount val="1"/>
                <c:pt idx="0">
                  <c:v>Velmi zajímavé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Vyhodnocení!$F$313:$F$318</c:f>
              <c:strCache>
                <c:ptCount val="6"/>
                <c:pt idx="0">
                  <c:v>Vyloučení</c:v>
                </c:pt>
                <c:pt idx="1">
                  <c:v>Tematické investice</c:v>
                </c:pt>
                <c:pt idx="2">
                  <c:v>Nejlepší ve své třídě</c:v>
                </c:pt>
                <c:pt idx="3">
                  <c:v>Investice s dopadem</c:v>
                </c:pt>
                <c:pt idx="4">
                  <c:v>Zapojení</c:v>
                </c:pt>
                <c:pt idx="5">
                  <c:v>Sdílení zisku</c:v>
                </c:pt>
              </c:strCache>
            </c:strRef>
          </c:cat>
          <c:val>
            <c:numRef>
              <c:f>Vyhodnocení!$G$313:$G$318</c:f>
              <c:numCache>
                <c:formatCode>General</c:formatCode>
                <c:ptCount val="6"/>
                <c:pt idx="0">
                  <c:v>71</c:v>
                </c:pt>
                <c:pt idx="1">
                  <c:v>81</c:v>
                </c:pt>
                <c:pt idx="2">
                  <c:v>104</c:v>
                </c:pt>
                <c:pt idx="3">
                  <c:v>73</c:v>
                </c:pt>
                <c:pt idx="4">
                  <c:v>78</c:v>
                </c:pt>
                <c:pt idx="5">
                  <c:v>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6F4-4738-9502-5A5AC4798717}"/>
            </c:ext>
          </c:extLst>
        </c:ser>
        <c:ser>
          <c:idx val="1"/>
          <c:order val="1"/>
          <c:tx>
            <c:strRef>
              <c:f>Vyhodnocení!$H$312</c:f>
              <c:strCache>
                <c:ptCount val="1"/>
                <c:pt idx="0">
                  <c:v>Docela zajímavé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Vyhodnocení!$F$313:$F$318</c:f>
              <c:strCache>
                <c:ptCount val="6"/>
                <c:pt idx="0">
                  <c:v>Vyloučení</c:v>
                </c:pt>
                <c:pt idx="1">
                  <c:v>Tematické investice</c:v>
                </c:pt>
                <c:pt idx="2">
                  <c:v>Nejlepší ve své třídě</c:v>
                </c:pt>
                <c:pt idx="3">
                  <c:v>Investice s dopadem</c:v>
                </c:pt>
                <c:pt idx="4">
                  <c:v>Zapojení</c:v>
                </c:pt>
                <c:pt idx="5">
                  <c:v>Sdílení zisku</c:v>
                </c:pt>
              </c:strCache>
            </c:strRef>
          </c:cat>
          <c:val>
            <c:numRef>
              <c:f>Vyhodnocení!$H$313:$H$318</c:f>
              <c:numCache>
                <c:formatCode>General</c:formatCode>
                <c:ptCount val="6"/>
                <c:pt idx="0">
                  <c:v>266</c:v>
                </c:pt>
                <c:pt idx="1">
                  <c:v>269</c:v>
                </c:pt>
                <c:pt idx="2">
                  <c:v>225</c:v>
                </c:pt>
                <c:pt idx="3">
                  <c:v>213</c:v>
                </c:pt>
                <c:pt idx="4">
                  <c:v>204</c:v>
                </c:pt>
                <c:pt idx="5">
                  <c:v>174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6F4-4738-9502-5A5AC4798717}"/>
            </c:ext>
          </c:extLst>
        </c:ser>
        <c:ser>
          <c:idx val="2"/>
          <c:order val="2"/>
          <c:tx>
            <c:strRef>
              <c:f>Vyhodnocení!$I$312</c:f>
              <c:strCache>
                <c:ptCount val="1"/>
                <c:pt idx="0">
                  <c:v>Nejsem rozhodnutý/á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Vyhodnocení!$F$313:$F$318</c:f>
              <c:strCache>
                <c:ptCount val="6"/>
                <c:pt idx="0">
                  <c:v>Vyloučení</c:v>
                </c:pt>
                <c:pt idx="1">
                  <c:v>Tematické investice</c:v>
                </c:pt>
                <c:pt idx="2">
                  <c:v>Nejlepší ve své třídě</c:v>
                </c:pt>
                <c:pt idx="3">
                  <c:v>Investice s dopadem</c:v>
                </c:pt>
                <c:pt idx="4">
                  <c:v>Zapojení</c:v>
                </c:pt>
                <c:pt idx="5">
                  <c:v>Sdílení zisku</c:v>
                </c:pt>
              </c:strCache>
            </c:strRef>
          </c:cat>
          <c:val>
            <c:numRef>
              <c:f>Vyhodnocení!$I$313:$I$318</c:f>
              <c:numCache>
                <c:formatCode>General</c:formatCode>
                <c:ptCount val="6"/>
                <c:pt idx="0">
                  <c:v>129</c:v>
                </c:pt>
                <c:pt idx="1">
                  <c:v>120</c:v>
                </c:pt>
                <c:pt idx="2">
                  <c:v>141</c:v>
                </c:pt>
                <c:pt idx="3">
                  <c:v>169</c:v>
                </c:pt>
                <c:pt idx="4">
                  <c:v>163</c:v>
                </c:pt>
                <c:pt idx="5">
                  <c:v>155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6F4-4738-9502-5A5AC4798717}"/>
            </c:ext>
          </c:extLst>
        </c:ser>
        <c:ser>
          <c:idx val="3"/>
          <c:order val="3"/>
          <c:tx>
            <c:strRef>
              <c:f>Vyhodnocení!$J$312</c:f>
              <c:strCache>
                <c:ptCount val="1"/>
                <c:pt idx="0">
                  <c:v>Málo zajímavé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Vyhodnocení!$F$313:$F$318</c:f>
              <c:strCache>
                <c:ptCount val="6"/>
                <c:pt idx="0">
                  <c:v>Vyloučení</c:v>
                </c:pt>
                <c:pt idx="1">
                  <c:v>Tematické investice</c:v>
                </c:pt>
                <c:pt idx="2">
                  <c:v>Nejlepší ve své třídě</c:v>
                </c:pt>
                <c:pt idx="3">
                  <c:v>Investice s dopadem</c:v>
                </c:pt>
                <c:pt idx="4">
                  <c:v>Zapojení</c:v>
                </c:pt>
                <c:pt idx="5">
                  <c:v>Sdílení zisku</c:v>
                </c:pt>
              </c:strCache>
            </c:strRef>
          </c:cat>
          <c:val>
            <c:numRef>
              <c:f>Vyhodnocení!$J$313:$J$318</c:f>
              <c:numCache>
                <c:formatCode>General</c:formatCode>
                <c:ptCount val="6"/>
                <c:pt idx="0">
                  <c:v>21</c:v>
                </c:pt>
                <c:pt idx="1">
                  <c:v>22</c:v>
                </c:pt>
                <c:pt idx="2">
                  <c:v>20</c:v>
                </c:pt>
                <c:pt idx="3">
                  <c:v>35</c:v>
                </c:pt>
                <c:pt idx="4">
                  <c:v>43</c:v>
                </c:pt>
                <c:pt idx="5">
                  <c:v>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6F4-4738-9502-5A5AC4798717}"/>
            </c:ext>
          </c:extLst>
        </c:ser>
        <c:ser>
          <c:idx val="4"/>
          <c:order val="4"/>
          <c:tx>
            <c:strRef>
              <c:f>Vyhodnocení!$K$312</c:f>
              <c:strCache>
                <c:ptCount val="1"/>
                <c:pt idx="0">
                  <c:v>Zcela nezajímavé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Vyhodnocení!$F$313:$F$318</c:f>
              <c:strCache>
                <c:ptCount val="6"/>
                <c:pt idx="0">
                  <c:v>Vyloučení</c:v>
                </c:pt>
                <c:pt idx="1">
                  <c:v>Tematické investice</c:v>
                </c:pt>
                <c:pt idx="2">
                  <c:v>Nejlepší ve své třídě</c:v>
                </c:pt>
                <c:pt idx="3">
                  <c:v>Investice s dopadem</c:v>
                </c:pt>
                <c:pt idx="4">
                  <c:v>Zapojení</c:v>
                </c:pt>
                <c:pt idx="5">
                  <c:v>Sdílení zisku</c:v>
                </c:pt>
              </c:strCache>
            </c:strRef>
          </c:cat>
          <c:val>
            <c:numRef>
              <c:f>Vyhodnocení!$K$313:$K$318</c:f>
              <c:numCache>
                <c:formatCode>General</c:formatCode>
                <c:ptCount val="6"/>
                <c:pt idx="0">
                  <c:v>20</c:v>
                </c:pt>
                <c:pt idx="1">
                  <c:v>15</c:v>
                </c:pt>
                <c:pt idx="2">
                  <c:v>17</c:v>
                </c:pt>
                <c:pt idx="3">
                  <c:v>17</c:v>
                </c:pt>
                <c:pt idx="4">
                  <c:v>19</c:v>
                </c:pt>
                <c:pt idx="5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6F4-4738-9502-5A5AC47987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68305376"/>
        <c:axId val="1968304128"/>
      </c:barChart>
      <c:catAx>
        <c:axId val="1968305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968304128"/>
        <c:crosses val="autoZero"/>
        <c:auto val="1"/>
        <c:lblAlgn val="ctr"/>
        <c:lblOffset val="100"/>
        <c:noMultiLvlLbl val="0"/>
      </c:catAx>
      <c:valAx>
        <c:axId val="1968304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968305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62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100" u="sng" dirty="0"/>
              <a:t>Věk</a:t>
            </a:r>
            <a:endParaRPr lang="en-US" u="sng" dirty="0"/>
          </a:p>
        </c:rich>
      </c:tx>
      <c:layout>
        <c:manualLayout>
          <c:xMode val="edge"/>
          <c:yMode val="edge"/>
          <c:x val="3.3661523349790293E-2"/>
          <c:y val="6.492659971217577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62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Věk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23F-44BD-A804-E70D226E6B1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F23F-44BD-A804-E70D226E6B1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F23F-44BD-A804-E70D226E6B1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F23F-44BD-A804-E70D226E6B1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F23F-44BD-A804-E70D226E6B13}"/>
              </c:ext>
            </c:extLst>
          </c:dPt>
          <c:dLbls>
            <c:dLbl>
              <c:idx val="0"/>
              <c:layout>
                <c:manualLayout>
                  <c:x val="2.8622540250447293E-2"/>
                  <c:y val="-1.002506265664160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23F-44BD-A804-E70D226E6B13}"/>
                </c:ext>
              </c:extLst>
            </c:dLbl>
            <c:dLbl>
              <c:idx val="1"/>
              <c:layout>
                <c:manualLayout>
                  <c:x val="8.586762075134155E-2"/>
                  <c:y val="4.010025062656641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23F-44BD-A804-E70D226E6B13}"/>
                </c:ext>
              </c:extLst>
            </c:dLbl>
            <c:dLbl>
              <c:idx val="2"/>
              <c:layout>
                <c:manualLayout>
                  <c:x val="1.4311270125223614E-2"/>
                  <c:y val="0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23F-44BD-A804-E70D226E6B13}"/>
                </c:ext>
              </c:extLst>
            </c:dLbl>
            <c:dLbl>
              <c:idx val="3"/>
              <c:layout>
                <c:manualLayout>
                  <c:x val="-0.11464228867634838"/>
                  <c:y val="-5.598563337477561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23F-44BD-A804-E70D226E6B13}"/>
                </c:ext>
              </c:extLst>
            </c:dLbl>
            <c:dLbl>
              <c:idx val="4"/>
              <c:layout>
                <c:manualLayout>
                  <c:x val="-7.1556350626118398E-3"/>
                  <c:y val="-0.1704260651629072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23F-44BD-A804-E70D226E6B13}"/>
                </c:ext>
              </c:extLst>
            </c:dLbl>
            <c:spPr>
              <a:solidFill>
                <a:prstClr val="white"/>
              </a:solidFill>
              <a:ln>
                <a:solidFill>
                  <a:prstClr val="black">
                    <a:lumMod val="25000"/>
                    <a:lumOff val="75000"/>
                  </a:prst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List1!$A$2:$A$6</c:f>
              <c:strCache>
                <c:ptCount val="5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55+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100</c:v>
                </c:pt>
                <c:pt idx="1">
                  <c:v>174</c:v>
                </c:pt>
                <c:pt idx="2">
                  <c:v>192</c:v>
                </c:pt>
                <c:pt idx="3">
                  <c:v>153</c:v>
                </c:pt>
                <c:pt idx="4">
                  <c:v>381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F23F-44BD-A804-E70D226E6B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00"/>
              <a:t>Zajímají mě témata kolem investic, spoření nebo burzy</a:t>
            </a:r>
          </a:p>
        </c:rich>
      </c:tx>
      <c:layout>
        <c:manualLayout>
          <c:xMode val="edge"/>
          <c:yMode val="edge"/>
          <c:x val="0.14761666609625779"/>
          <c:y val="1.732113743408761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8.7406207228651028E-2"/>
          <c:y val="0.25838491962698212"/>
          <c:w val="0.69839229201569408"/>
          <c:h val="0.3922743931202148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I am interested in topics around investments, saving money or the stock exchange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3DE-4B4A-A8EE-6005F8AD3749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F3DE-4B4A-A8EE-6005F8AD3749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F3DE-4B4A-A8EE-6005F8AD3749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F3DE-4B4A-A8EE-6005F8AD3749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F3DE-4B4A-A8EE-6005F8AD3749}"/>
              </c:ext>
            </c:extLst>
          </c:dPt>
          <c:dLbls>
            <c:dLbl>
              <c:idx val="0"/>
              <c:layout>
                <c:manualLayout>
                  <c:x val="-6.2188994883277879E-3"/>
                  <c:y val="-1.2226133023694703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C858C203-FF1C-4FD6-AC2D-221F164E16A6}" type="CELLRANGE">
                      <a:rPr lang="en-US"/>
                      <a:pPr>
                        <a:defRPr/>
                      </a:pPr>
                      <a:t>[OBLAST BUNĚK]</a:t>
                    </a:fld>
                    <a:endParaRPr lang="cs-CZ"/>
                  </a:p>
                </c:rich>
              </c:tx>
              <c:numFmt formatCode="General" sourceLinked="0"/>
              <c:spPr>
                <a:solidFill>
                  <a:prstClr val="white"/>
                </a:solidFill>
                <a:ln w="9525" cap="flat" cmpd="sng" algn="ctr">
                  <a:solidFill>
                    <a:prstClr val="black">
                      <a:lumMod val="25000"/>
                      <a:lumOff val="75000"/>
                    </a:prstClr>
                  </a:solidFill>
                  <a:prstDash val="solid"/>
                  <a:round/>
                  <a:headEnd type="none" w="med" len="med"/>
                  <a:tailEnd type="none" w="med" len="med"/>
                  <a:extLst>
                    <a:ext uri="{C807C97D-BFC1-408E-A445-0C87EB9F89A2}">
                      <ask:lineSketchStyleProps xmlns:ask="http://schemas.microsoft.com/office/drawing/2018/sketchyshapes" sd="0"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sk:type/>
                      </ask:lineSketchStyleProps>
                    </a:ext>
                  </a:extLst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-975"/>
                        <a:gd name="adj2" fmla="val 106807"/>
                      </a:avLst>
                    </a:prstGeom>
                    <a:noFill/>
                    <a:ln>
                      <a:noFill/>
                    </a:ln>
                  </c15:spPr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1-F3DE-4B4A-A8EE-6005F8AD3749}"/>
                </c:ext>
              </c:extLst>
            </c:dLbl>
            <c:dLbl>
              <c:idx val="1"/>
              <c:layout>
                <c:manualLayout>
                  <c:x val="-6.3909990099651603E-3"/>
                  <c:y val="-2.1150259443376028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5854F5D8-648D-40B1-B3DB-A45BD2BF91F9}" type="CELLRANGE">
                      <a:rPr lang="en-US"/>
                      <a:pPr>
                        <a:defRPr/>
                      </a:pPr>
                      <a:t>[OBLAST BUNĚK]</a:t>
                    </a:fld>
                    <a:endParaRPr lang="cs-CZ"/>
                  </a:p>
                </c:rich>
              </c:tx>
              <c:numFmt formatCode="General" sourceLinked="0"/>
              <c:spPr>
                <a:solidFill>
                  <a:prstClr val="white"/>
                </a:solidFill>
                <a:ln w="9525" cap="flat" cmpd="sng" algn="ctr">
                  <a:solidFill>
                    <a:prstClr val="black">
                      <a:lumMod val="25000"/>
                      <a:lumOff val="75000"/>
                    </a:prstClr>
                  </a:solidFill>
                  <a:prstDash val="solid"/>
                  <a:round/>
                  <a:headEnd type="none" w="med" len="med"/>
                  <a:tailEnd type="none" w="med" len="med"/>
                  <a:extLst>
                    <a:ext uri="{C807C97D-BFC1-408E-A445-0C87EB9F89A2}">
                      <ask:lineSketchStyleProps xmlns:ask="http://schemas.microsoft.com/office/drawing/2018/sketchyshapes" sd="0"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sk:type/>
                      </ask:lineSketchStyleProps>
                    </a:ext>
                  </a:extLst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5842"/>
                        <a:gd name="adj2" fmla="val 145124"/>
                      </a:avLst>
                    </a:prstGeom>
                    <a:noFill/>
                    <a:ln>
                      <a:noFill/>
                    </a:ln>
                  </c15:spPr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3-F3DE-4B4A-A8EE-6005F8AD3749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200A978F-877B-4168-8670-B5F8B7B5018C}" type="CELLRANGE">
                      <a:rPr lang="cs-CZ"/>
                      <a:pPr/>
                      <a:t>[OBLAST BUNĚK]</a:t>
                    </a:fld>
                    <a:endParaRPr lang="cs-CZ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5-F3DE-4B4A-A8EE-6005F8AD3749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D08363B2-064A-4E4A-BB17-C8F27221F460}" type="CELLRANGE">
                      <a:rPr lang="cs-CZ"/>
                      <a:pPr/>
                      <a:t>[OBLAST BUNĚK]</a:t>
                    </a:fld>
                    <a:endParaRPr lang="cs-CZ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7-F3DE-4B4A-A8EE-6005F8AD3749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4F340577-3748-4AA8-BC63-E262E574E0EE}" type="CELLRANGE">
                      <a:rPr lang="cs-CZ"/>
                      <a:pPr/>
                      <a:t>[OBLAST BUNĚK]</a:t>
                    </a:fld>
                    <a:endParaRPr lang="cs-CZ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9-F3DE-4B4A-A8EE-6005F8AD3749}"/>
                </c:ext>
              </c:extLst>
            </c:dLbl>
            <c:numFmt formatCode="General" sourceLinked="0"/>
            <c:spPr>
              <a:solidFill>
                <a:prstClr val="white"/>
              </a:solidFill>
              <a:ln>
                <a:solidFill>
                  <a:prstClr val="black">
                    <a:lumMod val="25000"/>
                    <a:lumOff val="75000"/>
                  </a:prstClr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DataLabelsRange val="1"/>
                <c15:showLeaderLines val="0"/>
              </c:ext>
            </c:extLst>
          </c:dLbls>
          <c:cat>
            <c:strRef>
              <c:f>List1!$A$2:$A$6</c:f>
              <c:strCache>
                <c:ptCount val="5"/>
                <c:pt idx="0">
                  <c:v>Rozhodně nesouhlasím</c:v>
                </c:pt>
                <c:pt idx="1">
                  <c:v>Nesouhlasím</c:v>
                </c:pt>
                <c:pt idx="2">
                  <c:v>Ani souhlas, ani nesouhlas</c:v>
                </c:pt>
                <c:pt idx="3">
                  <c:v>Souhlasím</c:v>
                </c:pt>
                <c:pt idx="4">
                  <c:v>Rozhodně souhlasím</c:v>
                </c:pt>
              </c:strCache>
            </c:strRef>
          </c:cat>
          <c:val>
            <c:numRef>
              <c:f>List1!$B$2:$B$6</c:f>
              <c:numCache>
                <c:formatCode>0%</c:formatCode>
                <c:ptCount val="5"/>
                <c:pt idx="0">
                  <c:v>6.6000000000000003E-2</c:v>
                </c:pt>
                <c:pt idx="1">
                  <c:v>9.9000000000000005E-2</c:v>
                </c:pt>
                <c:pt idx="2">
                  <c:v>0.26700000000000002</c:v>
                </c:pt>
                <c:pt idx="3">
                  <c:v>0.4</c:v>
                </c:pt>
                <c:pt idx="4">
                  <c:v>0.16800000000000001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List1!$B$2:$B$6</c15:f>
                <c15:dlblRangeCache>
                  <c:ptCount val="5"/>
                  <c:pt idx="0">
                    <c:v>7%</c:v>
                  </c:pt>
                  <c:pt idx="1">
                    <c:v>10%</c:v>
                  </c:pt>
                  <c:pt idx="2">
                    <c:v>27%</c:v>
                  </c:pt>
                  <c:pt idx="3">
                    <c:v>40%</c:v>
                  </c:pt>
                  <c:pt idx="4">
                    <c:v>17%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A-F3DE-4B4A-A8EE-6005F8AD37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95764336"/>
        <c:axId val="195767664"/>
      </c:barChart>
      <c:valAx>
        <c:axId val="195767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95764336"/>
        <c:crosses val="autoZero"/>
        <c:crossBetween val="between"/>
        <c:majorUnit val="0.1"/>
      </c:valAx>
      <c:catAx>
        <c:axId val="1957643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9576766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000"/>
      </a:pPr>
      <a:endParaRPr lang="cs-CZ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00"/>
              <a:t>Mám zájem o udržitelná finanční řešení</a:t>
            </a:r>
          </a:p>
        </c:rich>
      </c:tx>
      <c:layout>
        <c:manualLayout>
          <c:xMode val="edge"/>
          <c:yMode val="edge"/>
          <c:x val="0.14761666609625779"/>
          <c:y val="1.732113743408761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0.10325561891952653"/>
          <c:y val="0.18949944424206761"/>
          <c:w val="0.68707128366506864"/>
          <c:h val="0.375140900981683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Mám zájem o udržitelná finanční řešení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548-45E9-BD00-516E1E1E8A45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1548-45E9-BD00-516E1E1E8A45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1548-45E9-BD00-516E1E1E8A45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1548-45E9-BD00-516E1E1E8A45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1548-45E9-BD00-516E1E1E8A45}"/>
              </c:ext>
            </c:extLst>
          </c:dPt>
          <c:dLbls>
            <c:dLbl>
              <c:idx val="0"/>
              <c:layout>
                <c:manualLayout>
                  <c:x val="-1.09117544239317E-2"/>
                  <c:y val="-2.2512289056651424E-2"/>
                </c:manualLayout>
              </c:layout>
              <c:spPr>
                <a:solidFill>
                  <a:prstClr val="white"/>
                </a:solidFill>
                <a:ln w="9525" cap="flat" cmpd="sng" algn="ctr">
                  <a:solidFill>
                    <a:prstClr val="black">
                      <a:lumMod val="25000"/>
                      <a:lumOff val="75000"/>
                    </a:prstClr>
                  </a:solidFill>
                  <a:prstDash val="solid"/>
                  <a:round/>
                  <a:headEnd type="none" w="med" len="med"/>
                  <a:tailEnd type="none" w="med" len="med"/>
                  <a:extLst>
                    <a:ext uri="{C807C97D-BFC1-408E-A445-0C87EB9F89A2}">
                      <ask:lineSketchStyleProps xmlns:ask="http://schemas.microsoft.com/office/drawing/2018/sketchyshapes" sd="0"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sk:type/>
                      </ask:lineSketchStyleProps>
                    </a:ext>
                  </a:extLst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14214"/>
                        <a:gd name="adj2" fmla="val 111799"/>
                      </a:avLst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1-1548-45E9-BD00-516E1E1E8A45}"/>
                </c:ext>
              </c:extLst>
            </c:dLbl>
            <c:dLbl>
              <c:idx val="1"/>
              <c:layout>
                <c:manualLayout>
                  <c:x val="-8.9750461953355589E-3"/>
                  <c:y val="-1.1828160655175919E-2"/>
                </c:manualLayout>
              </c:layout>
              <c:spPr>
                <a:solidFill>
                  <a:prstClr val="white"/>
                </a:solidFill>
                <a:ln w="9525" cap="flat" cmpd="sng" algn="ctr">
                  <a:solidFill>
                    <a:prstClr val="black">
                      <a:lumMod val="25000"/>
                      <a:lumOff val="75000"/>
                    </a:prstClr>
                  </a:solidFill>
                  <a:prstDash val="solid"/>
                  <a:round/>
                  <a:headEnd type="none" w="med" len="med"/>
                  <a:tailEnd type="none" w="med" len="med"/>
                  <a:extLst>
                    <a:ext uri="{C807C97D-BFC1-408E-A445-0C87EB9F89A2}">
                      <ask:lineSketchStyleProps xmlns:ask="http://schemas.microsoft.com/office/drawing/2018/sketchyshapes" sd="0"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sk:type/>
                      </ask:lineSketchStyleProps>
                    </a:ext>
                  </a:extLst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3429"/>
                        <a:gd name="adj2" fmla="val 106337"/>
                      </a:avLst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3-1548-45E9-BD00-516E1E1E8A45}"/>
                </c:ext>
              </c:extLst>
            </c:dLbl>
            <c:dLbl>
              <c:idx val="2"/>
              <c:layout>
                <c:manualLayout>
                  <c:x val="1.3585210020750428E-2"/>
                  <c:y val="5.54735040308380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548-45E9-BD00-516E1E1E8A45}"/>
                </c:ext>
              </c:extLst>
            </c:dLbl>
            <c:spPr>
              <a:solidFill>
                <a:prstClr val="white"/>
              </a:solidFill>
              <a:ln>
                <a:solidFill>
                  <a:prstClr val="black">
                    <a:lumMod val="25000"/>
                    <a:lumOff val="75000"/>
                  </a:prstClr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List1!$A$2:$A$6</c:f>
              <c:strCache>
                <c:ptCount val="5"/>
                <c:pt idx="0">
                  <c:v>Rozhodně nesouhlasím</c:v>
                </c:pt>
                <c:pt idx="1">
                  <c:v>Nesouhlasím</c:v>
                </c:pt>
                <c:pt idx="2">
                  <c:v>Ani souhlas, ani nesouhlas</c:v>
                </c:pt>
                <c:pt idx="3">
                  <c:v>Souhlasím</c:v>
                </c:pt>
                <c:pt idx="4">
                  <c:v>Rozhodně souhlasím</c:v>
                </c:pt>
              </c:strCache>
            </c:strRef>
          </c:cat>
          <c:val>
            <c:numRef>
              <c:f>List1!$B$2:$B$6</c:f>
              <c:numCache>
                <c:formatCode>0%</c:formatCode>
                <c:ptCount val="5"/>
                <c:pt idx="0">
                  <c:v>2.7E-2</c:v>
                </c:pt>
                <c:pt idx="1">
                  <c:v>5.1999999999999998E-2</c:v>
                </c:pt>
                <c:pt idx="2">
                  <c:v>0.214</c:v>
                </c:pt>
                <c:pt idx="3">
                  <c:v>0.56399999999999995</c:v>
                </c:pt>
                <c:pt idx="4">
                  <c:v>0.14299999999999999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1548-45E9-BD00-516E1E1E8A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721905040"/>
        <c:axId val="721905456"/>
      </c:barChart>
      <c:catAx>
        <c:axId val="7219050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721905456"/>
        <c:crosses val="autoZero"/>
        <c:auto val="1"/>
        <c:lblAlgn val="ctr"/>
        <c:lblOffset val="100"/>
        <c:noMultiLvlLbl val="0"/>
      </c:catAx>
      <c:valAx>
        <c:axId val="721905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7219050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000"/>
      </a:pPr>
      <a:endParaRPr lang="cs-CZ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000">
                <a:effectLst/>
              </a:rPr>
              <a:t>Ve kterých konkrétních případech by lidé souhlasili s tím, že se vzdají části svého výnosu, pokud by jejich cíle udržitelnosti byly zcela splněny?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Vyhodnocení!$N$250</c:f>
              <c:strCache>
                <c:ptCount val="1"/>
                <c:pt idx="0">
                  <c:v>Pokud by to skutečně pomohlo udržitelným společnostem růst a poskytovat pozitivnější dopad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Vyhodnocení!$O$249:$S$249</c:f>
              <c:strCache>
                <c:ptCount val="5"/>
                <c:pt idx="0">
                  <c:v>Rozhodně nesouhlasím</c:v>
                </c:pt>
                <c:pt idx="1">
                  <c:v>Nesouhlasím</c:v>
                </c:pt>
                <c:pt idx="2">
                  <c:v>Ani souhlas, ani nesouhlas</c:v>
                </c:pt>
                <c:pt idx="3">
                  <c:v>Souhlasím</c:v>
                </c:pt>
                <c:pt idx="4">
                  <c:v>Rozhodně souhlasím</c:v>
                </c:pt>
              </c:strCache>
            </c:strRef>
          </c:cat>
          <c:val>
            <c:numRef>
              <c:f>Vyhodnocení!$O$250:$S$250</c:f>
              <c:numCache>
                <c:formatCode>General</c:formatCode>
                <c:ptCount val="5"/>
                <c:pt idx="0">
                  <c:v>46</c:v>
                </c:pt>
                <c:pt idx="1">
                  <c:v>90</c:v>
                </c:pt>
                <c:pt idx="2">
                  <c:v>345</c:v>
                </c:pt>
                <c:pt idx="3">
                  <c:v>376</c:v>
                </c:pt>
                <c:pt idx="4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085-4DC4-9FC8-696EFE53E448}"/>
            </c:ext>
          </c:extLst>
        </c:ser>
        <c:ser>
          <c:idx val="1"/>
          <c:order val="1"/>
          <c:tx>
            <c:strRef>
              <c:f>Vyhodnocení!$N$251</c:f>
              <c:strCache>
                <c:ptCount val="1"/>
                <c:pt idx="0">
                  <c:v>Pokud by správa udržitelných finančních produktů tak, jak ji chtějí mít, skutečně znamenala vzdání se některých příležitostí k výnosům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Vyhodnocení!$O$249:$S$249</c:f>
              <c:strCache>
                <c:ptCount val="5"/>
                <c:pt idx="0">
                  <c:v>Rozhodně nesouhlasím</c:v>
                </c:pt>
                <c:pt idx="1">
                  <c:v>Nesouhlasím</c:v>
                </c:pt>
                <c:pt idx="2">
                  <c:v>Ani souhlas, ani nesouhlas</c:v>
                </c:pt>
                <c:pt idx="3">
                  <c:v>Souhlasím</c:v>
                </c:pt>
                <c:pt idx="4">
                  <c:v>Rozhodně souhlasím</c:v>
                </c:pt>
              </c:strCache>
            </c:strRef>
          </c:cat>
          <c:val>
            <c:numRef>
              <c:f>Vyhodnocení!$O$251:$S$251</c:f>
              <c:numCache>
                <c:formatCode>General</c:formatCode>
                <c:ptCount val="5"/>
                <c:pt idx="0">
                  <c:v>38</c:v>
                </c:pt>
                <c:pt idx="1">
                  <c:v>114</c:v>
                </c:pt>
                <c:pt idx="2">
                  <c:v>372</c:v>
                </c:pt>
                <c:pt idx="3">
                  <c:v>342</c:v>
                </c:pt>
                <c:pt idx="4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085-4DC4-9FC8-696EFE53E448}"/>
            </c:ext>
          </c:extLst>
        </c:ser>
        <c:ser>
          <c:idx val="2"/>
          <c:order val="2"/>
          <c:tx>
            <c:strRef>
              <c:f>Vyhodnocení!$N$252</c:f>
              <c:strCache>
                <c:ptCount val="1"/>
                <c:pt idx="0">
                  <c:v>Pokud by správa udržitelných finančních produktů tak, jak ji chtějí mít, skutečně znamenala vyšší náklady pro finanční zprostředkovatele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Vyhodnocení!$O$249:$S$249</c:f>
              <c:strCache>
                <c:ptCount val="5"/>
                <c:pt idx="0">
                  <c:v>Rozhodně nesouhlasím</c:v>
                </c:pt>
                <c:pt idx="1">
                  <c:v>Nesouhlasím</c:v>
                </c:pt>
                <c:pt idx="2">
                  <c:v>Ani souhlas, ani nesouhlas</c:v>
                </c:pt>
                <c:pt idx="3">
                  <c:v>Souhlasím</c:v>
                </c:pt>
                <c:pt idx="4">
                  <c:v>Rozhodně souhlasím</c:v>
                </c:pt>
              </c:strCache>
            </c:strRef>
          </c:cat>
          <c:val>
            <c:numRef>
              <c:f>Vyhodnocení!$O$252:$S$252</c:f>
              <c:numCache>
                <c:formatCode>General</c:formatCode>
                <c:ptCount val="5"/>
                <c:pt idx="0">
                  <c:v>34</c:v>
                </c:pt>
                <c:pt idx="1">
                  <c:v>123</c:v>
                </c:pt>
                <c:pt idx="2">
                  <c:v>438</c:v>
                </c:pt>
                <c:pt idx="3">
                  <c:v>277</c:v>
                </c:pt>
                <c:pt idx="4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085-4DC4-9FC8-696EFE53E4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98357632"/>
        <c:axId val="1298360960"/>
      </c:barChart>
      <c:catAx>
        <c:axId val="1298357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298360960"/>
        <c:crosses val="autoZero"/>
        <c:auto val="1"/>
        <c:lblAlgn val="ctr"/>
        <c:lblOffset val="100"/>
        <c:noMultiLvlLbl val="0"/>
      </c:catAx>
      <c:valAx>
        <c:axId val="1298360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298357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0746349751187999E-2"/>
          <c:y val="0.71474889168265732"/>
          <c:w val="0.87850730049762404"/>
          <c:h val="0.2612991023180926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Vyhodnocení!$G$276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Vyhodnocení!$H$275:$L$275</c:f>
              <c:strCache>
                <c:ptCount val="5"/>
                <c:pt idx="0">
                  <c:v>Velmi zajímavé</c:v>
                </c:pt>
                <c:pt idx="1">
                  <c:v>Docela zajímavé</c:v>
                </c:pt>
                <c:pt idx="2">
                  <c:v>Nejsem rozhodnutý/á</c:v>
                </c:pt>
                <c:pt idx="3">
                  <c:v>Málo zajímavé</c:v>
                </c:pt>
                <c:pt idx="4">
                  <c:v>Zcela nezajímavé</c:v>
                </c:pt>
              </c:strCache>
            </c:strRef>
          </c:cat>
          <c:val>
            <c:numRef>
              <c:f>Vyhodnocení!$H$276:$L$276</c:f>
              <c:numCache>
                <c:formatCode>General</c:formatCode>
                <c:ptCount val="5"/>
                <c:pt idx="0">
                  <c:v>121</c:v>
                </c:pt>
                <c:pt idx="1">
                  <c:v>329</c:v>
                </c:pt>
                <c:pt idx="2">
                  <c:v>158</c:v>
                </c:pt>
                <c:pt idx="3">
                  <c:v>66</c:v>
                </c:pt>
                <c:pt idx="4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C2D-40E0-916E-1048C04F9E04}"/>
            </c:ext>
          </c:extLst>
        </c:ser>
        <c:ser>
          <c:idx val="1"/>
          <c:order val="1"/>
          <c:tx>
            <c:strRef>
              <c:f>Vyhodnocení!$G$277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Vyhodnocení!$H$275:$L$275</c:f>
              <c:strCache>
                <c:ptCount val="5"/>
                <c:pt idx="0">
                  <c:v>Velmi zajímavé</c:v>
                </c:pt>
                <c:pt idx="1">
                  <c:v>Docela zajímavé</c:v>
                </c:pt>
                <c:pt idx="2">
                  <c:v>Nejsem rozhodnutý/á</c:v>
                </c:pt>
                <c:pt idx="3">
                  <c:v>Málo zajímavé</c:v>
                </c:pt>
                <c:pt idx="4">
                  <c:v>Zcela nezajímavé</c:v>
                </c:pt>
              </c:strCache>
            </c:strRef>
          </c:cat>
          <c:val>
            <c:numRef>
              <c:f>Vyhodnocení!$H$277:$L$277</c:f>
              <c:numCache>
                <c:formatCode>General</c:formatCode>
                <c:ptCount val="5"/>
                <c:pt idx="0">
                  <c:v>95</c:v>
                </c:pt>
                <c:pt idx="1">
                  <c:v>309</c:v>
                </c:pt>
                <c:pt idx="2">
                  <c:v>186</c:v>
                </c:pt>
                <c:pt idx="3">
                  <c:v>78</c:v>
                </c:pt>
                <c:pt idx="4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C2D-40E0-916E-1048C04F9E04}"/>
            </c:ext>
          </c:extLst>
        </c:ser>
        <c:ser>
          <c:idx val="2"/>
          <c:order val="2"/>
          <c:tx>
            <c:strRef>
              <c:f>Vyhodnocení!$G$278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Vyhodnocení!$H$275:$L$275</c:f>
              <c:strCache>
                <c:ptCount val="5"/>
                <c:pt idx="0">
                  <c:v>Velmi zajímavé</c:v>
                </c:pt>
                <c:pt idx="1">
                  <c:v>Docela zajímavé</c:v>
                </c:pt>
                <c:pt idx="2">
                  <c:v>Nejsem rozhodnutý/á</c:v>
                </c:pt>
                <c:pt idx="3">
                  <c:v>Málo zajímavé</c:v>
                </c:pt>
                <c:pt idx="4">
                  <c:v>Zcela nezajímavé</c:v>
                </c:pt>
              </c:strCache>
            </c:strRef>
          </c:cat>
          <c:val>
            <c:numRef>
              <c:f>Vyhodnocení!$H$278:$L$278</c:f>
              <c:numCache>
                <c:formatCode>General</c:formatCode>
                <c:ptCount val="5"/>
                <c:pt idx="0">
                  <c:v>97</c:v>
                </c:pt>
                <c:pt idx="1">
                  <c:v>274</c:v>
                </c:pt>
                <c:pt idx="2">
                  <c:v>197</c:v>
                </c:pt>
                <c:pt idx="3">
                  <c:v>95</c:v>
                </c:pt>
                <c:pt idx="4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C2D-40E0-916E-1048C04F9E04}"/>
            </c:ext>
          </c:extLst>
        </c:ser>
        <c:ser>
          <c:idx val="3"/>
          <c:order val="3"/>
          <c:tx>
            <c:strRef>
              <c:f>Vyhodnocení!$G$279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Vyhodnocení!$H$275:$L$275</c:f>
              <c:strCache>
                <c:ptCount val="5"/>
                <c:pt idx="0">
                  <c:v>Velmi zajímavé</c:v>
                </c:pt>
                <c:pt idx="1">
                  <c:v>Docela zajímavé</c:v>
                </c:pt>
                <c:pt idx="2">
                  <c:v>Nejsem rozhodnutý/á</c:v>
                </c:pt>
                <c:pt idx="3">
                  <c:v>Málo zajímavé</c:v>
                </c:pt>
                <c:pt idx="4">
                  <c:v>Zcela nezajímavé</c:v>
                </c:pt>
              </c:strCache>
            </c:strRef>
          </c:cat>
          <c:val>
            <c:numRef>
              <c:f>Vyhodnocení!$H$279:$L$279</c:f>
              <c:numCache>
                <c:formatCode>General</c:formatCode>
                <c:ptCount val="5"/>
                <c:pt idx="0">
                  <c:v>102</c:v>
                </c:pt>
                <c:pt idx="1">
                  <c:v>306</c:v>
                </c:pt>
                <c:pt idx="2">
                  <c:v>181</c:v>
                </c:pt>
                <c:pt idx="3">
                  <c:v>76</c:v>
                </c:pt>
                <c:pt idx="4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C2D-40E0-916E-1048C04F9E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28281472"/>
        <c:axId val="1728281888"/>
      </c:barChart>
      <c:catAx>
        <c:axId val="1728281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728281888"/>
        <c:crosses val="autoZero"/>
        <c:auto val="1"/>
        <c:lblAlgn val="ctr"/>
        <c:lblOffset val="100"/>
        <c:noMultiLvlLbl val="0"/>
      </c:catAx>
      <c:valAx>
        <c:axId val="1728281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728281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41EA-4DF9-B9BC-CB8E900C292D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1EA-4DF9-B9BC-CB8E900C292D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1EA-4DF9-B9BC-CB8E900C292D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1EA-4DF9-B9BC-CB8E900C292D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41EA-4DF9-B9BC-CB8E900C292D}"/>
              </c:ext>
            </c:extLst>
          </c:dPt>
          <c:cat>
            <c:strRef>
              <c:f>Vyhodnocení!$G$285:$K$285</c:f>
              <c:strCache>
                <c:ptCount val="5"/>
                <c:pt idx="0">
                  <c:v>Velmi zajímavé</c:v>
                </c:pt>
                <c:pt idx="1">
                  <c:v>Docela zajímavé</c:v>
                </c:pt>
                <c:pt idx="2">
                  <c:v>Nejsem rozhodnutý/á</c:v>
                </c:pt>
                <c:pt idx="3">
                  <c:v>Málo zajímavé</c:v>
                </c:pt>
                <c:pt idx="4">
                  <c:v>Zcela nezajímavé</c:v>
                </c:pt>
              </c:strCache>
            </c:strRef>
          </c:cat>
          <c:val>
            <c:numRef>
              <c:f>Vyhodnocení!$G$286:$K$286</c:f>
              <c:numCache>
                <c:formatCode>General</c:formatCode>
                <c:ptCount val="5"/>
                <c:pt idx="0">
                  <c:v>72</c:v>
                </c:pt>
                <c:pt idx="1">
                  <c:v>270</c:v>
                </c:pt>
                <c:pt idx="2">
                  <c:v>239</c:v>
                </c:pt>
                <c:pt idx="3">
                  <c:v>84</c:v>
                </c:pt>
                <c:pt idx="4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41EA-4DF9-B9BC-CB8E900C29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345232640"/>
        <c:axId val="1345233056"/>
      </c:barChart>
      <c:catAx>
        <c:axId val="13452326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345233056"/>
        <c:crosses val="autoZero"/>
        <c:auto val="1"/>
        <c:lblAlgn val="ctr"/>
        <c:lblOffset val="100"/>
        <c:noMultiLvlLbl val="0"/>
      </c:catAx>
      <c:valAx>
        <c:axId val="1345233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3452326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000"/>
              <a:t>... následujících subjektů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Vyhodnocení!$F$257</c:f>
              <c:strCache>
                <c:ptCount val="1"/>
                <c:pt idx="0">
                  <c:v>malé a střední podniky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Vyhodnocení!$G$256:$K$256</c:f>
              <c:strCache>
                <c:ptCount val="5"/>
                <c:pt idx="0">
                  <c:v>Velmi zajímavé</c:v>
                </c:pt>
                <c:pt idx="1">
                  <c:v>Docela zajímavé</c:v>
                </c:pt>
                <c:pt idx="2">
                  <c:v>Nejsem rozhodnutý/á</c:v>
                </c:pt>
                <c:pt idx="3">
                  <c:v>Málo zajímavé</c:v>
                </c:pt>
                <c:pt idx="4">
                  <c:v>Zcela nezajímavé</c:v>
                </c:pt>
              </c:strCache>
            </c:strRef>
          </c:cat>
          <c:val>
            <c:numRef>
              <c:f>Vyhodnocení!$G$257:$K$257</c:f>
              <c:numCache>
                <c:formatCode>General</c:formatCode>
                <c:ptCount val="5"/>
                <c:pt idx="0">
                  <c:v>65</c:v>
                </c:pt>
                <c:pt idx="1">
                  <c:v>290</c:v>
                </c:pt>
                <c:pt idx="2">
                  <c:v>445</c:v>
                </c:pt>
                <c:pt idx="3">
                  <c:v>142</c:v>
                </c:pt>
                <c:pt idx="4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5B-4550-9CCC-2293CA87BDBE}"/>
            </c:ext>
          </c:extLst>
        </c:ser>
        <c:ser>
          <c:idx val="1"/>
          <c:order val="1"/>
          <c:tx>
            <c:strRef>
              <c:f>Vyhodnocení!$F$258</c:f>
              <c:strCache>
                <c:ptCount val="1"/>
                <c:pt idx="0">
                  <c:v>velké korporace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Vyhodnocení!$G$256:$K$256</c:f>
              <c:strCache>
                <c:ptCount val="5"/>
                <c:pt idx="0">
                  <c:v>Velmi zajímavé</c:v>
                </c:pt>
                <c:pt idx="1">
                  <c:v>Docela zajímavé</c:v>
                </c:pt>
                <c:pt idx="2">
                  <c:v>Nejsem rozhodnutý/á</c:v>
                </c:pt>
                <c:pt idx="3">
                  <c:v>Málo zajímavé</c:v>
                </c:pt>
                <c:pt idx="4">
                  <c:v>Zcela nezajímavé</c:v>
                </c:pt>
              </c:strCache>
            </c:strRef>
          </c:cat>
          <c:val>
            <c:numRef>
              <c:f>Vyhodnocení!$G$258:$K$258</c:f>
              <c:numCache>
                <c:formatCode>General</c:formatCode>
                <c:ptCount val="5"/>
                <c:pt idx="0">
                  <c:v>115</c:v>
                </c:pt>
                <c:pt idx="1">
                  <c:v>317</c:v>
                </c:pt>
                <c:pt idx="2">
                  <c:v>348</c:v>
                </c:pt>
                <c:pt idx="3">
                  <c:v>151</c:v>
                </c:pt>
                <c:pt idx="4">
                  <c:v>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65B-4550-9CCC-2293CA87BDBE}"/>
            </c:ext>
          </c:extLst>
        </c:ser>
        <c:ser>
          <c:idx val="2"/>
          <c:order val="2"/>
          <c:tx>
            <c:strRef>
              <c:f>Vyhodnocení!$F$259</c:f>
              <c:strCache>
                <c:ptCount val="1"/>
                <c:pt idx="0">
                  <c:v>domácnosti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Vyhodnocení!$G$256:$K$256</c:f>
              <c:strCache>
                <c:ptCount val="5"/>
                <c:pt idx="0">
                  <c:v>Velmi zajímavé</c:v>
                </c:pt>
                <c:pt idx="1">
                  <c:v>Docela zajímavé</c:v>
                </c:pt>
                <c:pt idx="2">
                  <c:v>Nejsem rozhodnutý/á</c:v>
                </c:pt>
                <c:pt idx="3">
                  <c:v>Málo zajímavé</c:v>
                </c:pt>
                <c:pt idx="4">
                  <c:v>Zcela nezajímavé</c:v>
                </c:pt>
              </c:strCache>
            </c:strRef>
          </c:cat>
          <c:val>
            <c:numRef>
              <c:f>Vyhodnocení!$G$259:$K$259</c:f>
              <c:numCache>
                <c:formatCode>General</c:formatCode>
                <c:ptCount val="5"/>
                <c:pt idx="0">
                  <c:v>135</c:v>
                </c:pt>
                <c:pt idx="1">
                  <c:v>398</c:v>
                </c:pt>
                <c:pt idx="2">
                  <c:v>293</c:v>
                </c:pt>
                <c:pt idx="3">
                  <c:v>116</c:v>
                </c:pt>
                <c:pt idx="4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65B-4550-9CCC-2293CA87BDBE}"/>
            </c:ext>
          </c:extLst>
        </c:ser>
        <c:ser>
          <c:idx val="3"/>
          <c:order val="3"/>
          <c:tx>
            <c:strRef>
              <c:f>Vyhodnocení!$F$260</c:f>
              <c:strCache>
                <c:ptCount val="1"/>
                <c:pt idx="0">
                  <c:v>obce, místní nebo regionální veřejné správy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Vyhodnocení!$G$256:$K$256</c:f>
              <c:strCache>
                <c:ptCount val="5"/>
                <c:pt idx="0">
                  <c:v>Velmi zajímavé</c:v>
                </c:pt>
                <c:pt idx="1">
                  <c:v>Docela zajímavé</c:v>
                </c:pt>
                <c:pt idx="2">
                  <c:v>Nejsem rozhodnutý/á</c:v>
                </c:pt>
                <c:pt idx="3">
                  <c:v>Málo zajímavé</c:v>
                </c:pt>
                <c:pt idx="4">
                  <c:v>Zcela nezajímavé</c:v>
                </c:pt>
              </c:strCache>
            </c:strRef>
          </c:cat>
          <c:val>
            <c:numRef>
              <c:f>Vyhodnocení!$G$260:$K$260</c:f>
              <c:numCache>
                <c:formatCode>General</c:formatCode>
                <c:ptCount val="5"/>
                <c:pt idx="0">
                  <c:v>100</c:v>
                </c:pt>
                <c:pt idx="1">
                  <c:v>426</c:v>
                </c:pt>
                <c:pt idx="2">
                  <c:v>307</c:v>
                </c:pt>
                <c:pt idx="3">
                  <c:v>117</c:v>
                </c:pt>
                <c:pt idx="4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65B-4550-9CCC-2293CA87BDBE}"/>
            </c:ext>
          </c:extLst>
        </c:ser>
        <c:ser>
          <c:idx val="4"/>
          <c:order val="4"/>
          <c:tx>
            <c:strRef>
              <c:f>Vyhodnocení!$F$261</c:f>
              <c:strCache>
                <c:ptCount val="1"/>
                <c:pt idx="0">
                  <c:v>vnitrostátní veřejné správy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Vyhodnocení!$G$256:$K$256</c:f>
              <c:strCache>
                <c:ptCount val="5"/>
                <c:pt idx="0">
                  <c:v>Velmi zajímavé</c:v>
                </c:pt>
                <c:pt idx="1">
                  <c:v>Docela zajímavé</c:v>
                </c:pt>
                <c:pt idx="2">
                  <c:v>Nejsem rozhodnutý/á</c:v>
                </c:pt>
                <c:pt idx="3">
                  <c:v>Málo zajímavé</c:v>
                </c:pt>
                <c:pt idx="4">
                  <c:v>Zcela nezajímavé</c:v>
                </c:pt>
              </c:strCache>
            </c:strRef>
          </c:cat>
          <c:val>
            <c:numRef>
              <c:f>Vyhodnocení!$G$261:$K$261</c:f>
              <c:numCache>
                <c:formatCode>General</c:formatCode>
                <c:ptCount val="5"/>
                <c:pt idx="0">
                  <c:v>86</c:v>
                </c:pt>
                <c:pt idx="1">
                  <c:v>282</c:v>
                </c:pt>
                <c:pt idx="2">
                  <c:v>390</c:v>
                </c:pt>
                <c:pt idx="3">
                  <c:v>183</c:v>
                </c:pt>
                <c:pt idx="4">
                  <c:v>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65B-4550-9CCC-2293CA87BD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32035296"/>
        <c:axId val="1732033216"/>
      </c:barChart>
      <c:catAx>
        <c:axId val="1732035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732033216"/>
        <c:crosses val="autoZero"/>
        <c:auto val="1"/>
        <c:lblAlgn val="ctr"/>
        <c:lblOffset val="100"/>
        <c:noMultiLvlLbl val="0"/>
      </c:catAx>
      <c:valAx>
        <c:axId val="1732033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732035296"/>
        <c:crosses val="autoZero"/>
        <c:crossBetween val="between"/>
        <c:majorUnit val="10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000"/>
              <a:t>...</a:t>
            </a:r>
            <a:r>
              <a:rPr lang="cs-CZ" sz="1000" baseline="0"/>
              <a:t> a geografických zón</a:t>
            </a:r>
            <a:endParaRPr lang="cs-CZ" sz="1000"/>
          </a:p>
        </c:rich>
      </c:tx>
      <c:layout>
        <c:manualLayout>
          <c:xMode val="edge"/>
          <c:yMode val="edge"/>
          <c:x val="0.20083917096569825"/>
          <c:y val="2.139211210678709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Vyhodnocení!$F$266</c:f>
              <c:strCache>
                <c:ptCount val="1"/>
                <c:pt idx="0">
                  <c:v>moje město nebo region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Vyhodnocení!$G$265:$K$265</c:f>
              <c:strCache>
                <c:ptCount val="5"/>
                <c:pt idx="0">
                  <c:v>Velmi zajímavé</c:v>
                </c:pt>
                <c:pt idx="1">
                  <c:v>Docela zajímavé</c:v>
                </c:pt>
                <c:pt idx="2">
                  <c:v>Nejsem rozhodnutý/á</c:v>
                </c:pt>
                <c:pt idx="3">
                  <c:v>Málo zajímavé</c:v>
                </c:pt>
                <c:pt idx="4">
                  <c:v>Zcela nezajímavé</c:v>
                </c:pt>
              </c:strCache>
            </c:strRef>
          </c:cat>
          <c:val>
            <c:numRef>
              <c:f>Vyhodnocení!$G$266:$K$266</c:f>
              <c:numCache>
                <c:formatCode>General</c:formatCode>
                <c:ptCount val="5"/>
                <c:pt idx="0">
                  <c:v>214</c:v>
                </c:pt>
                <c:pt idx="1">
                  <c:v>455</c:v>
                </c:pt>
                <c:pt idx="2">
                  <c:v>201</c:v>
                </c:pt>
                <c:pt idx="3">
                  <c:v>87</c:v>
                </c:pt>
                <c:pt idx="4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39A-4A3F-87E4-4D09693A3158}"/>
            </c:ext>
          </c:extLst>
        </c:ser>
        <c:ser>
          <c:idx val="1"/>
          <c:order val="1"/>
          <c:tx>
            <c:strRef>
              <c:f>Vyhodnocení!$F$267</c:f>
              <c:strCache>
                <c:ptCount val="1"/>
                <c:pt idx="0">
                  <c:v>moje země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Vyhodnocení!$G$265:$K$265</c:f>
              <c:strCache>
                <c:ptCount val="5"/>
                <c:pt idx="0">
                  <c:v>Velmi zajímavé</c:v>
                </c:pt>
                <c:pt idx="1">
                  <c:v>Docela zajímavé</c:v>
                </c:pt>
                <c:pt idx="2">
                  <c:v>Nejsem rozhodnutý/á</c:v>
                </c:pt>
                <c:pt idx="3">
                  <c:v>Málo zajímavé</c:v>
                </c:pt>
                <c:pt idx="4">
                  <c:v>Zcela nezajímavé</c:v>
                </c:pt>
              </c:strCache>
            </c:strRef>
          </c:cat>
          <c:val>
            <c:numRef>
              <c:f>Vyhodnocení!$G$267:$K$267</c:f>
              <c:numCache>
                <c:formatCode>General</c:formatCode>
                <c:ptCount val="5"/>
                <c:pt idx="0">
                  <c:v>236</c:v>
                </c:pt>
                <c:pt idx="1">
                  <c:v>441</c:v>
                </c:pt>
                <c:pt idx="2">
                  <c:v>214</c:v>
                </c:pt>
                <c:pt idx="3">
                  <c:v>73</c:v>
                </c:pt>
                <c:pt idx="4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39A-4A3F-87E4-4D09693A3158}"/>
            </c:ext>
          </c:extLst>
        </c:ser>
        <c:ser>
          <c:idx val="2"/>
          <c:order val="2"/>
          <c:tx>
            <c:strRef>
              <c:f>Vyhodnocení!$F$268</c:f>
              <c:strCache>
                <c:ptCount val="1"/>
                <c:pt idx="0">
                  <c:v>jiné evropské země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Vyhodnocení!$G$265:$K$265</c:f>
              <c:strCache>
                <c:ptCount val="5"/>
                <c:pt idx="0">
                  <c:v>Velmi zajímavé</c:v>
                </c:pt>
                <c:pt idx="1">
                  <c:v>Docela zajímavé</c:v>
                </c:pt>
                <c:pt idx="2">
                  <c:v>Nejsem rozhodnutý/á</c:v>
                </c:pt>
                <c:pt idx="3">
                  <c:v>Málo zajímavé</c:v>
                </c:pt>
                <c:pt idx="4">
                  <c:v>Zcela nezajímavé</c:v>
                </c:pt>
              </c:strCache>
            </c:strRef>
          </c:cat>
          <c:val>
            <c:numRef>
              <c:f>Vyhodnocení!$G$268:$K$268</c:f>
              <c:numCache>
                <c:formatCode>General</c:formatCode>
                <c:ptCount val="5"/>
                <c:pt idx="0">
                  <c:v>119</c:v>
                </c:pt>
                <c:pt idx="1">
                  <c:v>355</c:v>
                </c:pt>
                <c:pt idx="2">
                  <c:v>329</c:v>
                </c:pt>
                <c:pt idx="3">
                  <c:v>122</c:v>
                </c:pt>
                <c:pt idx="4">
                  <c:v>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39A-4A3F-87E4-4D09693A3158}"/>
            </c:ext>
          </c:extLst>
        </c:ser>
        <c:ser>
          <c:idx val="3"/>
          <c:order val="3"/>
          <c:tx>
            <c:strRef>
              <c:f>Vyhodnocení!$F$269</c:f>
              <c:strCache>
                <c:ptCount val="1"/>
                <c:pt idx="0">
                  <c:v>jiné vyspělé země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Vyhodnocení!$G$265:$K$265</c:f>
              <c:strCache>
                <c:ptCount val="5"/>
                <c:pt idx="0">
                  <c:v>Velmi zajímavé</c:v>
                </c:pt>
                <c:pt idx="1">
                  <c:v>Docela zajímavé</c:v>
                </c:pt>
                <c:pt idx="2">
                  <c:v>Nejsem rozhodnutý/á</c:v>
                </c:pt>
                <c:pt idx="3">
                  <c:v>Málo zajímavé</c:v>
                </c:pt>
                <c:pt idx="4">
                  <c:v>Zcela nezajímavé</c:v>
                </c:pt>
              </c:strCache>
            </c:strRef>
          </c:cat>
          <c:val>
            <c:numRef>
              <c:f>Vyhodnocení!$G$269:$K$269</c:f>
              <c:numCache>
                <c:formatCode>General</c:formatCode>
                <c:ptCount val="5"/>
                <c:pt idx="0">
                  <c:v>139</c:v>
                </c:pt>
                <c:pt idx="1">
                  <c:v>347</c:v>
                </c:pt>
                <c:pt idx="2">
                  <c:v>311</c:v>
                </c:pt>
                <c:pt idx="3">
                  <c:v>133</c:v>
                </c:pt>
                <c:pt idx="4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39A-4A3F-87E4-4D09693A3158}"/>
            </c:ext>
          </c:extLst>
        </c:ser>
        <c:ser>
          <c:idx val="4"/>
          <c:order val="4"/>
          <c:tx>
            <c:strRef>
              <c:f>Vyhodnocení!$F$270</c:f>
              <c:strCache>
                <c:ptCount val="1"/>
                <c:pt idx="0">
                  <c:v>rozvíjející se země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Vyhodnocení!$G$265:$K$265</c:f>
              <c:strCache>
                <c:ptCount val="5"/>
                <c:pt idx="0">
                  <c:v>Velmi zajímavé</c:v>
                </c:pt>
                <c:pt idx="1">
                  <c:v>Docela zajímavé</c:v>
                </c:pt>
                <c:pt idx="2">
                  <c:v>Nejsem rozhodnutý/á</c:v>
                </c:pt>
                <c:pt idx="3">
                  <c:v>Málo zajímavé</c:v>
                </c:pt>
                <c:pt idx="4">
                  <c:v>Zcela nezajímavé</c:v>
                </c:pt>
              </c:strCache>
            </c:strRef>
          </c:cat>
          <c:val>
            <c:numRef>
              <c:f>Vyhodnocení!$G$270:$K$270</c:f>
              <c:numCache>
                <c:formatCode>General</c:formatCode>
                <c:ptCount val="5"/>
                <c:pt idx="0">
                  <c:v>95</c:v>
                </c:pt>
                <c:pt idx="1">
                  <c:v>270</c:v>
                </c:pt>
                <c:pt idx="2">
                  <c:v>362</c:v>
                </c:pt>
                <c:pt idx="3">
                  <c:v>175</c:v>
                </c:pt>
                <c:pt idx="4">
                  <c:v>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39A-4A3F-87E4-4D09693A31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68307456"/>
        <c:axId val="1968306624"/>
      </c:barChart>
      <c:catAx>
        <c:axId val="1968307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968306624"/>
        <c:crosses val="autoZero"/>
        <c:auto val="1"/>
        <c:lblAlgn val="ctr"/>
        <c:lblOffset val="100"/>
        <c:noMultiLvlLbl val="0"/>
      </c:catAx>
      <c:valAx>
        <c:axId val="1968306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968307456"/>
        <c:crosses val="autoZero"/>
        <c:crossBetween val="between"/>
        <c:majorUnit val="10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/>
      </a:pPr>
      <a:endParaRPr lang="cs-CZ"/>
    </a:p>
  </c:txPr>
  <c:externalData r:id="rId3">
    <c:autoUpdate val="0"/>
  </c:externalData>
</c:chartSpace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List1!$A$2:$A$7</cx:f>
        <cx:lvl ptCount="6">
          <cx:pt idx="0">500 - 750</cx:pt>
          <cx:pt idx="1">751 - 1.000</cx:pt>
          <cx:pt idx="2">1.001 - 2.500</cx:pt>
          <cx:pt idx="3">2.501 - 5.000</cx:pt>
          <cx:pt idx="4">více než 5.000</cx:pt>
          <cx:pt idx="5">nechci uvádět</cx:pt>
        </cx:lvl>
      </cx:strDim>
      <cx:numDim type="val">
        <cx:f>List1!$B$2:$B$7</cx:f>
        <cx:lvl ptCount="6" formatCode="0%">
          <cx:pt idx="0">0.10000000000000001</cx:pt>
          <cx:pt idx="1">0.152</cx:pt>
          <cx:pt idx="2">0.248</cx:pt>
          <cx:pt idx="3">0.23499999999999999</cx:pt>
          <cx:pt idx="4">0.26500000000000001</cx:pt>
          <cx:pt idx="5">0</cx:pt>
        </cx:lvl>
      </cx:numDim>
    </cx:data>
  </cx:chartData>
  <cx:chart>
    <cx:title pos="t" align="ctr" overlay="0">
      <cx:tx>
        <cx:rich>
          <a:bodyPr spcFirstLastPara="1" vertOverflow="ellipsis" horzOverflow="overflow" wrap="square" lIns="0" tIns="0" rIns="0" bIns="0" anchor="ctr" anchorCtr="1"/>
          <a:lstStyle/>
          <a:p>
            <a:pPr algn="ctr" rtl="0">
              <a:defRPr sz="1000"/>
            </a:pPr>
            <a:r>
              <a:rPr lang="cs-CZ" sz="1000" b="0" i="0" u="sng" strike="noStrike" baseline="0" dirty="0" err="1">
                <a:solidFill>
                  <a:prstClr val="black">
                    <a:lumMod val="65000"/>
                    <a:lumOff val="35000"/>
                  </a:prstClr>
                </a:solidFill>
                <a:latin typeface="Calibri" panose="020F0502020204030204"/>
              </a:rPr>
              <a:t>Průměrné úspory domácnosti – počítáno na měsíc a dospělou osobu v Kč</a:t>
            </a:r>
            <a:endParaRPr lang="cs-CZ" sz="1000" b="0" i="0" u="sng" strike="noStrike" baseline="0" dirty="0">
              <a:solidFill>
                <a:prstClr val="black">
                  <a:lumMod val="65000"/>
                  <a:lumOff val="35000"/>
                </a:prstClr>
              </a:solidFill>
              <a:latin typeface="Calibri" panose="020F0502020204030204"/>
            </a:endParaRPr>
          </a:p>
        </cx:rich>
      </cx:tx>
    </cx:title>
    <cx:plotArea>
      <cx:plotAreaRegion>
        <cx:series layoutId="funnel" uniqueId="{0DCBC778-F0E2-4834-83B6-DB9C501C9E0E}">
          <cx:tx>
            <cx:txData>
              <cx:f>List1!$B$1</cx:f>
              <cx:v>Řada1</cx:v>
            </cx:txData>
          </cx:tx>
          <cx:spPr>
            <a:solidFill>
              <a:schemeClr val="accent1">
                <a:lumMod val="75000"/>
              </a:schemeClr>
            </a:solidFill>
          </cx:spPr>
          <cx:dataLabels>
            <cx:txPr>
              <a:bodyPr vertOverflow="overflow" horzOverflow="overflow" wrap="square" lIns="0" tIns="0" rIns="0" bIns="0"/>
              <a:lstStyle/>
              <a:p>
                <a:pPr algn="ctr" rtl="0">
                  <a:defRPr sz="1000" b="0" i="0">
                    <a:solidFill>
                      <a:srgbClr val="595959"/>
                    </a:solidFill>
                    <a:latin typeface="Calibri" panose="020F0502020204030204" pitchFamily="34" charset="0"/>
                    <a:ea typeface="Calibri" panose="020F0502020204030204" pitchFamily="34" charset="0"/>
                    <a:cs typeface="Calibri" panose="020F0502020204030204" pitchFamily="34" charset="0"/>
                  </a:defRPr>
                </a:pPr>
                <a:endParaRPr lang="cs-CZ" sz="1000"/>
              </a:p>
            </cx:txPr>
            <cx:visibility seriesName="0" categoryName="0" value="1"/>
          </cx:dataLabels>
          <cx:dataId val="0"/>
        </cx:series>
      </cx:plotAreaRegion>
      <cx:axis id="0">
        <cx:catScaling gapWidth="0.0599999987"/>
        <cx:tickLabels/>
        <cx:txPr>
          <a:bodyPr vertOverflow="overflow" horzOverflow="overflow" wrap="square" lIns="0" tIns="0" rIns="0" bIns="0"/>
          <a:lstStyle/>
          <a:p>
            <a:pPr algn="ctr" rtl="0">
              <a:defRPr sz="1000" b="0" i="0">
                <a:solidFill>
                  <a:srgbClr val="595959"/>
                </a:solidFill>
                <a:latin typeface="Calibri" panose="020F0502020204030204" pitchFamily="34" charset="0"/>
                <a:ea typeface="Calibri" panose="020F0502020204030204" pitchFamily="34" charset="0"/>
                <a:cs typeface="Calibri" panose="020F0502020204030204" pitchFamily="34" charset="0"/>
              </a:defRPr>
            </a:pPr>
            <a:endParaRPr lang="cs-CZ" sz="1000"/>
          </a:p>
        </cx:txPr>
      </cx:axis>
    </cx:plotArea>
  </cx:chart>
  <cx:spPr>
    <a:ln>
      <a:noFill/>
    </a:ln>
  </cx:spPr>
</cx:chartSpace>
</file>

<file path=word/charts/chartEx2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List1!$A$2:$A$9</cx:f>
        <cx:lvl ptCount="8">
          <cx:pt idx="0">méně než 8.000</cx:pt>
          <cx:pt idx="1">8.001 - 12.000</cx:pt>
          <cx:pt idx="2">12.001 - 15.000</cx:pt>
          <cx:pt idx="3">15.001 - 20.000</cx:pt>
          <cx:pt idx="4">20.001 - 30.000</cx:pt>
          <cx:pt idx="5">30.001 - 50.000</cx:pt>
          <cx:pt idx="6">více než 50.000</cx:pt>
          <cx:pt idx="7">nechci uvádět</cx:pt>
        </cx:lvl>
      </cx:strDim>
      <cx:numDim type="val">
        <cx:f>List1!$B$2:$B$9</cx:f>
        <cx:lvl ptCount="8" formatCode="0%">
          <cx:pt idx="0">0.017000000000000001</cx:pt>
          <cx:pt idx="1">0.029000000000000001</cx:pt>
          <cx:pt idx="2">0.056000000000000001</cx:pt>
          <cx:pt idx="3">0.13900000000000001</cx:pt>
          <cx:pt idx="4">0.29299999999999998</cx:pt>
          <cx:pt idx="5">0.28999999999999998</cx:pt>
          <cx:pt idx="6">0.14799999999999999</cx:pt>
          <cx:pt idx="7">0.028000000000000001</cx:pt>
        </cx:lvl>
      </cx:numDim>
    </cx:data>
  </cx:chartData>
  <cx:chart>
    <cx:title pos="t" align="ctr" overlay="0">
      <cx:tx>
        <cx:txData>
          <cx:v>Průměrný měsíční příjem domácnosti – přepočtený na dospělou osobu po zdanění v Kč</cx:v>
        </cx:txData>
      </cx:tx>
      <cx:txPr>
        <a:bodyPr spcFirstLastPara="1" vertOverflow="ellipsis" horzOverflow="overflow" wrap="square" lIns="0" tIns="0" rIns="0" bIns="0" anchor="ctr" anchorCtr="1"/>
        <a:lstStyle/>
        <a:p>
          <a:pPr algn="ctr" rtl="0">
            <a:defRPr sz="1000"/>
          </a:pPr>
          <a:r>
            <a:rPr lang="cs-CZ" sz="1000" b="0" i="0" u="sng" strike="noStrike" baseline="0" dirty="0">
              <a:solidFill>
                <a:prstClr val="black">
                  <a:lumMod val="65000"/>
                  <a:lumOff val="35000"/>
                </a:prstClr>
              </a:solidFill>
              <a:latin typeface="Calibri" panose="020F0502020204030204"/>
            </a:rPr>
            <a:t>Průměrný měsíční příjem domácnosti – přepočtený na dospělou osobu po zdanění v Kč</a:t>
          </a:r>
        </a:p>
      </cx:txPr>
    </cx:title>
    <cx:plotArea>
      <cx:plotAreaRegion>
        <cx:series layoutId="funnel" uniqueId="{084257BF-A2D8-4DD8-86C1-6EC0EACB332F}">
          <cx:tx>
            <cx:txData>
              <cx:f>List1!$B$1</cx:f>
              <cx:v>Řada1</cx:v>
            </cx:txData>
          </cx:tx>
          <cx:spPr>
            <a:solidFill>
              <a:schemeClr val="accent1">
                <a:lumMod val="75000"/>
              </a:schemeClr>
            </a:solidFill>
          </cx:spPr>
          <cx:dataLabels>
            <cx:txPr>
              <a:bodyPr vertOverflow="overflow" horzOverflow="overflow" wrap="square" lIns="0" tIns="0" rIns="0" bIns="0"/>
              <a:lstStyle/>
              <a:p>
                <a:pPr algn="ctr" rtl="0">
                  <a:defRPr sz="1000" b="0" i="0">
                    <a:solidFill>
                      <a:srgbClr val="595959"/>
                    </a:solidFill>
                    <a:latin typeface="Calibri" panose="020F0502020204030204" pitchFamily="34" charset="0"/>
                    <a:ea typeface="Calibri" panose="020F0502020204030204" pitchFamily="34" charset="0"/>
                    <a:cs typeface="Calibri" panose="020F0502020204030204" pitchFamily="34" charset="0"/>
                  </a:defRPr>
                </a:pPr>
                <a:endParaRPr lang="cs-CZ" sz="1000"/>
              </a:p>
            </cx:txPr>
            <cx:visibility seriesName="0" categoryName="0" value="1"/>
          </cx:dataLabels>
          <cx:dataId val="0"/>
        </cx:series>
      </cx:plotAreaRegion>
      <cx:axis id="0">
        <cx:catScaling gapWidth="0.0599999987"/>
        <cx:tickLabels/>
        <cx:txPr>
          <a:bodyPr vertOverflow="overflow" horzOverflow="overflow" wrap="square" lIns="0" tIns="0" rIns="0" bIns="0"/>
          <a:lstStyle/>
          <a:p>
            <a:pPr algn="ctr" rtl="0">
              <a:defRPr sz="1000" b="0" i="0">
                <a:solidFill>
                  <a:srgbClr val="595959"/>
                </a:solidFill>
                <a:latin typeface="Calibri" panose="020F0502020204030204" pitchFamily="34" charset="0"/>
                <a:ea typeface="Calibri" panose="020F0502020204030204" pitchFamily="34" charset="0"/>
                <a:cs typeface="Calibri" panose="020F0502020204030204" pitchFamily="34" charset="0"/>
              </a:defRPr>
            </a:pPr>
            <a:endParaRPr lang="cs-CZ" sz="1000"/>
          </a:p>
        </cx:txPr>
      </cx:axis>
    </cx:plotArea>
  </cx:chart>
  <cx:spPr>
    <a:ln>
      <a:noFill/>
    </a:ln>
  </cx:spPr>
</cx:chartSpace>
</file>

<file path=word/charts/chartEx3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List1!$A$2:$A$9</cx:f>
        <cx:lvl ptCount="8">
          <cx:pt idx="0">do 50.000</cx:pt>
          <cx:pt idx="1">od 50.001 do 100.000</cx:pt>
          <cx:pt idx="2">od 100.001 do 500.000</cx:pt>
          <cx:pt idx="3">od 500.001 do 1.000.000</cx:pt>
          <cx:pt idx="4">od 1.000.001 do 5.000.000</cx:pt>
          <cx:pt idx="5">od 5.000.001 do 10.000.000</cx:pt>
          <cx:pt idx="6">více než 10.000.000</cx:pt>
          <cx:pt idx="7">nechci uvádět</cx:pt>
        </cx:lvl>
      </cx:strDim>
      <cx:numDim type="val">
        <cx:f>List1!$B$2:$B$9</cx:f>
        <cx:lvl ptCount="8" formatCode="0%">
          <cx:pt idx="0">0.20000000000000001</cx:pt>
          <cx:pt idx="1">0.14099999999999999</cx:pt>
          <cx:pt idx="2">0.26900000000000002</cx:pt>
          <cx:pt idx="3">0.128</cx:pt>
          <cx:pt idx="4">0.099000000000000005</cx:pt>
          <cx:pt idx="5">0.023</cx:pt>
          <cx:pt idx="6">0.040000000000000001</cx:pt>
          <cx:pt idx="7">0.10000000000000001</cx:pt>
        </cx:lvl>
      </cx:numDim>
    </cx:data>
  </cx:chartData>
  <cx:chart>
    <cx:title pos="t" align="ctr" overlay="0">
      <cx:tx>
        <cx:rich>
          <a:bodyPr spcFirstLastPara="1" vertOverflow="ellipsis" horzOverflow="overflow" wrap="square" lIns="0" tIns="0" rIns="0" bIns="0" anchor="ctr" anchorCtr="1"/>
          <a:lstStyle/>
          <a:p>
            <a:pPr algn="ctr" rtl="0">
              <a:defRPr sz="1000"/>
            </a:pPr>
            <a:r>
              <a:rPr lang="cs-CZ" sz="1000" b="0" i="0" u="sng" strike="noStrike" baseline="0" dirty="0">
                <a:solidFill>
                  <a:prstClr val="black">
                    <a:lumMod val="65000"/>
                    <a:lumOff val="35000"/>
                  </a:prstClr>
                </a:solidFill>
                <a:latin typeface="Calibri" panose="020F0502020204030204"/>
              </a:rPr>
              <a:t>Celková výše akumulovaných finančních úspor domácnosti - přepočteno na dospělou osobu v Kč</a:t>
            </a:r>
          </a:p>
          <a:p>
            <a:pPr algn="ctr" rtl="0">
              <a:defRPr sz="1000"/>
            </a:pPr>
            <a:endParaRPr lang="cs-CZ" sz="1000" b="0" i="0" u="sng" strike="noStrike" baseline="0" dirty="0">
              <a:solidFill>
                <a:prstClr val="black">
                  <a:lumMod val="65000"/>
                  <a:lumOff val="35000"/>
                </a:prstClr>
              </a:solidFill>
              <a:latin typeface="Calibri" panose="020F0502020204030204"/>
            </a:endParaRPr>
          </a:p>
        </cx:rich>
      </cx:tx>
    </cx:title>
    <cx:plotArea>
      <cx:plotAreaRegion>
        <cx:series layoutId="funnel" uniqueId="{0DCBC778-F0E2-4834-83B6-DB9C501C9E0E}">
          <cx:tx>
            <cx:txData>
              <cx:f>List1!$B$1</cx:f>
              <cx:v>Řada1</cx:v>
            </cx:txData>
          </cx:tx>
          <cx:spPr>
            <a:solidFill>
              <a:schemeClr val="accent1">
                <a:lumMod val="75000"/>
              </a:schemeClr>
            </a:solidFill>
          </cx:spPr>
          <cx:dataLabels>
            <cx:txPr>
              <a:bodyPr vertOverflow="overflow" horzOverflow="overflow" wrap="square" lIns="0" tIns="0" rIns="0" bIns="0"/>
              <a:lstStyle/>
              <a:p>
                <a:pPr algn="ctr" rtl="0">
                  <a:defRPr sz="1000" b="0" i="0">
                    <a:solidFill>
                      <a:srgbClr val="595959"/>
                    </a:solidFill>
                    <a:latin typeface="Calibri" panose="020F0502020204030204" pitchFamily="34" charset="0"/>
                    <a:ea typeface="Calibri" panose="020F0502020204030204" pitchFamily="34" charset="0"/>
                    <a:cs typeface="Calibri" panose="020F0502020204030204" pitchFamily="34" charset="0"/>
                  </a:defRPr>
                </a:pPr>
                <a:endParaRPr lang="cs-CZ" sz="1000"/>
              </a:p>
            </cx:txPr>
            <cx:visibility seriesName="0" categoryName="0" value="1"/>
          </cx:dataLabels>
          <cx:dataId val="0"/>
        </cx:series>
      </cx:plotAreaRegion>
      <cx:axis id="0">
        <cx:catScaling gapWidth="0.0599999987"/>
        <cx:tickLabels/>
        <cx:txPr>
          <a:bodyPr vertOverflow="overflow" horzOverflow="overflow" wrap="square" lIns="0" tIns="0" rIns="0" bIns="0"/>
          <a:lstStyle/>
          <a:p>
            <a:pPr algn="ctr" rtl="0">
              <a:defRPr sz="1000" b="0" i="0">
                <a:solidFill>
                  <a:srgbClr val="595959"/>
                </a:solidFill>
                <a:latin typeface="Calibri" panose="020F0502020204030204" pitchFamily="34" charset="0"/>
                <a:ea typeface="Calibri" panose="020F0502020204030204" pitchFamily="34" charset="0"/>
                <a:cs typeface="Calibri" panose="020F0502020204030204" pitchFamily="34" charset="0"/>
              </a:defRPr>
            </a:pPr>
            <a:endParaRPr lang="cs-CZ" sz="1000"/>
          </a:p>
        </cx:txPr>
      </cx:axis>
    </cx:plotArea>
  </cx:chart>
  <cx:spPr>
    <a:ln>
      <a:noFill/>
    </a:ln>
  </cx:spPr>
</cx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41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197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1197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1197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/>
  </cs:valueAxis>
  <cs:wall>
    <cs:lnRef idx="0"/>
    <cs:fillRef idx="0"/>
    <cs:effectRef idx="0"/>
    <cs:fontRef idx="minor">
      <a:schemeClr val="tx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41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197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1197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1197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/>
  </cs:valueAxis>
  <cs:wall>
    <cs:lnRef idx="0"/>
    <cs:fillRef idx="0"/>
    <cs:effectRef idx="0"/>
    <cs:fontRef idx="minor">
      <a:schemeClr val="tx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41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197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1197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1197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/>
  </cs:valueAxis>
  <cs:wall>
    <cs:lnRef idx="0"/>
    <cs:fillRef idx="0"/>
    <cs:effectRef idx="0"/>
    <cs:fontRef idx="minor">
      <a:schemeClr val="tx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42490-4BFD-4AFA-BB26-EF1A224FA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8</Pages>
  <Words>1893</Words>
  <Characters>11169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Vodička</dc:creator>
  <cp:keywords/>
  <dc:description/>
  <cp:lastModifiedBy>Viktor Vodička</cp:lastModifiedBy>
  <cp:revision>531</cp:revision>
  <dcterms:created xsi:type="dcterms:W3CDTF">2022-05-02T11:30:00Z</dcterms:created>
  <dcterms:modified xsi:type="dcterms:W3CDTF">2022-11-28T08:30:00Z</dcterms:modified>
</cp:coreProperties>
</file>