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E1AA" w14:textId="77777777" w:rsidR="006C1914" w:rsidRDefault="006C1914" w:rsidP="006C1914">
      <w:pPr>
        <w:jc w:val="center"/>
        <w:rPr>
          <w:rFonts w:cstheme="minorHAnsi"/>
        </w:rPr>
      </w:pPr>
    </w:p>
    <w:p w14:paraId="6B324C17" w14:textId="77777777" w:rsidR="006C1914" w:rsidRPr="00FB11A6" w:rsidRDefault="006C1914" w:rsidP="006C1914">
      <w:pPr>
        <w:jc w:val="center"/>
        <w:rPr>
          <w:rFonts w:cstheme="minorHAnsi"/>
        </w:rPr>
      </w:pPr>
      <w:r w:rsidRPr="00FB11A6">
        <w:rPr>
          <w:rFonts w:cstheme="minorHAnsi"/>
        </w:rPr>
        <w:t>Závěrečná zpráva o realizaci projektu</w:t>
      </w:r>
    </w:p>
    <w:p w14:paraId="039E007A" w14:textId="3F4EDB19" w:rsidR="006C1914" w:rsidRDefault="005940CD" w:rsidP="006C1914">
      <w:pPr>
        <w:jc w:val="center"/>
        <w:rPr>
          <w:rFonts w:eastAsia="Times New Roman" w:cstheme="minorHAnsi"/>
          <w:b/>
          <w:bCs/>
          <w:color w:val="000000"/>
        </w:rPr>
      </w:pPr>
      <w:r>
        <w:rPr>
          <w:b/>
        </w:rPr>
        <w:t>Komunikace a nabídka nástrojů udržitelného financování</w:t>
      </w:r>
      <w:r w:rsidR="00B64159">
        <w:rPr>
          <w:b/>
        </w:rPr>
        <w:t xml:space="preserve"> - 2022</w:t>
      </w:r>
    </w:p>
    <w:p w14:paraId="7E814C62" w14:textId="77777777" w:rsidR="006C1914" w:rsidRDefault="006C1914" w:rsidP="006C1914">
      <w:pPr>
        <w:rPr>
          <w:rFonts w:cstheme="minorHAnsi"/>
        </w:rPr>
      </w:pPr>
    </w:p>
    <w:p w14:paraId="415C3986" w14:textId="77777777" w:rsidR="006C1914" w:rsidRPr="008106D3" w:rsidRDefault="006C1914" w:rsidP="006C1914">
      <w:pPr>
        <w:rPr>
          <w:rFonts w:cstheme="minorHAnsi"/>
          <w:u w:val="single"/>
        </w:rPr>
      </w:pPr>
      <w:r w:rsidRPr="008106D3">
        <w:rPr>
          <w:rFonts w:cstheme="minorHAnsi"/>
          <w:u w:val="single"/>
        </w:rPr>
        <w:t>Realizace projektu</w:t>
      </w:r>
    </w:p>
    <w:p w14:paraId="13E9A65A" w14:textId="277AD05F" w:rsidR="00006ACC" w:rsidRDefault="006C1914" w:rsidP="006C1914">
      <w:pPr>
        <w:jc w:val="both"/>
        <w:rPr>
          <w:rFonts w:cstheme="minorHAnsi"/>
        </w:rPr>
      </w:pPr>
      <w:r>
        <w:rPr>
          <w:rFonts w:cstheme="minorHAnsi"/>
        </w:rPr>
        <w:t xml:space="preserve">Sdružení českých spotřebitelů, </w:t>
      </w:r>
      <w:proofErr w:type="spellStart"/>
      <w:r>
        <w:rPr>
          <w:rFonts w:cstheme="minorHAnsi"/>
        </w:rPr>
        <w:t>z.ú</w:t>
      </w:r>
      <w:proofErr w:type="spellEnd"/>
      <w:r>
        <w:rPr>
          <w:rFonts w:cstheme="minorHAnsi"/>
        </w:rPr>
        <w:t xml:space="preserve">. (SČS) </w:t>
      </w:r>
      <w:r w:rsidR="00834A4F">
        <w:rPr>
          <w:rFonts w:cstheme="minorHAnsi"/>
        </w:rPr>
        <w:t xml:space="preserve">prostřednictvím tzv. </w:t>
      </w:r>
      <w:proofErr w:type="spellStart"/>
      <w:r w:rsidR="00834A4F">
        <w:rPr>
          <w:rFonts w:cstheme="minorHAnsi"/>
        </w:rPr>
        <w:t>myster</w:t>
      </w:r>
      <w:r w:rsidR="00A438C4">
        <w:rPr>
          <w:rFonts w:cstheme="minorHAnsi"/>
        </w:rPr>
        <w:t>y</w:t>
      </w:r>
      <w:proofErr w:type="spellEnd"/>
      <w:r w:rsidR="00A438C4">
        <w:rPr>
          <w:rFonts w:cstheme="minorHAnsi"/>
        </w:rPr>
        <w:t xml:space="preserve"> </w:t>
      </w:r>
      <w:proofErr w:type="spellStart"/>
      <w:r w:rsidR="00A438C4">
        <w:rPr>
          <w:rFonts w:cstheme="minorHAnsi"/>
        </w:rPr>
        <w:t>shoppingu</w:t>
      </w:r>
      <w:proofErr w:type="spellEnd"/>
      <w:r w:rsidR="00A438C4">
        <w:rPr>
          <w:rFonts w:cstheme="minorHAnsi"/>
        </w:rPr>
        <w:t xml:space="preserve"> </w:t>
      </w:r>
      <w:r w:rsidR="00006ACC">
        <w:rPr>
          <w:rFonts w:cstheme="minorHAnsi"/>
        </w:rPr>
        <w:t xml:space="preserve">ověřovalo </w:t>
      </w:r>
      <w:r w:rsidR="00006ACC">
        <w:t xml:space="preserve">u bankovních i nebankovních subjektů v ČR, do jaké míry se finanční poradci u nás </w:t>
      </w:r>
      <w:r w:rsidR="00A438C4">
        <w:t xml:space="preserve">zajímají </w:t>
      </w:r>
      <w:r w:rsidR="00006ACC">
        <w:t xml:space="preserve">o preference drobných investorů v oblasti ESG a zda jsou a v jaké míře preferencím </w:t>
      </w:r>
      <w:r w:rsidR="005B326D">
        <w:t xml:space="preserve">spotřebitelů </w:t>
      </w:r>
      <w:r w:rsidR="00B64159">
        <w:t xml:space="preserve">případně </w:t>
      </w:r>
      <w:r w:rsidR="00006ACC">
        <w:t xml:space="preserve">schopni </w:t>
      </w:r>
      <w:r w:rsidR="009C0E64">
        <w:t xml:space="preserve">i </w:t>
      </w:r>
      <w:r w:rsidR="00006ACC">
        <w:t xml:space="preserve">přizpůsobit </w:t>
      </w:r>
      <w:r w:rsidR="0093485F">
        <w:t xml:space="preserve">svoji </w:t>
      </w:r>
      <w:r w:rsidR="00006ACC">
        <w:t>nabídku</w:t>
      </w:r>
      <w:r w:rsidR="0093485F">
        <w:t>.</w:t>
      </w:r>
    </w:p>
    <w:p w14:paraId="41D9C7A5" w14:textId="1458F2A3" w:rsidR="00522472" w:rsidRPr="00401A4C" w:rsidRDefault="00522472" w:rsidP="00401A4C">
      <w:pPr>
        <w:jc w:val="both"/>
        <w:rPr>
          <w:rFonts w:cstheme="minorHAnsi"/>
        </w:rPr>
      </w:pPr>
      <w:r w:rsidRPr="00401A4C">
        <w:rPr>
          <w:rFonts w:cstheme="minorHAnsi"/>
        </w:rPr>
        <w:t xml:space="preserve">Celkem </w:t>
      </w:r>
      <w:r w:rsidR="00344B5E" w:rsidRPr="00401A4C">
        <w:rPr>
          <w:rFonts w:cstheme="minorHAnsi"/>
        </w:rPr>
        <w:t xml:space="preserve">jsme realizovali </w:t>
      </w:r>
      <w:r w:rsidR="007353D3" w:rsidRPr="006437B2">
        <w:rPr>
          <w:rFonts w:cstheme="minorHAnsi"/>
          <w:b/>
          <w:bCs/>
        </w:rPr>
        <w:t xml:space="preserve">36 </w:t>
      </w:r>
      <w:r w:rsidR="00861995" w:rsidRPr="006437B2">
        <w:rPr>
          <w:rFonts w:cstheme="minorHAnsi"/>
          <w:b/>
          <w:bCs/>
        </w:rPr>
        <w:t>návštěv</w:t>
      </w:r>
      <w:r w:rsidR="00BF1377" w:rsidRPr="006437B2">
        <w:rPr>
          <w:rFonts w:cstheme="minorHAnsi"/>
          <w:b/>
          <w:bCs/>
        </w:rPr>
        <w:t xml:space="preserve"> u</w:t>
      </w:r>
      <w:r w:rsidR="00BF1377" w:rsidRPr="00401A4C">
        <w:rPr>
          <w:rFonts w:cstheme="minorHAnsi"/>
        </w:rPr>
        <w:t xml:space="preserve"> </w:t>
      </w:r>
      <w:r w:rsidRPr="00401A4C">
        <w:rPr>
          <w:rFonts w:cstheme="minorHAnsi"/>
        </w:rPr>
        <w:t xml:space="preserve">finančních poradců </w:t>
      </w:r>
      <w:r w:rsidRPr="006437B2">
        <w:rPr>
          <w:rFonts w:cstheme="minorHAnsi"/>
          <w:b/>
          <w:bCs/>
        </w:rPr>
        <w:t>3 hlavní</w:t>
      </w:r>
      <w:r w:rsidR="005B383A" w:rsidRPr="006437B2">
        <w:rPr>
          <w:rFonts w:cstheme="minorHAnsi"/>
          <w:b/>
          <w:bCs/>
        </w:rPr>
        <w:t>ch</w:t>
      </w:r>
      <w:r w:rsidRPr="006437B2">
        <w:rPr>
          <w:rFonts w:cstheme="minorHAnsi"/>
          <w:b/>
          <w:bCs/>
        </w:rPr>
        <w:t xml:space="preserve"> bank</w:t>
      </w:r>
      <w:r w:rsidRPr="00401A4C">
        <w:rPr>
          <w:rFonts w:cstheme="minorHAnsi"/>
        </w:rPr>
        <w:t xml:space="preserve"> s nejvýznamnějším podílem na trhu</w:t>
      </w:r>
      <w:r w:rsidR="005B383A" w:rsidRPr="00401A4C">
        <w:rPr>
          <w:rFonts w:cstheme="minorHAnsi"/>
        </w:rPr>
        <w:t xml:space="preserve"> </w:t>
      </w:r>
      <w:r w:rsidRPr="006437B2">
        <w:rPr>
          <w:rFonts w:cstheme="minorHAnsi"/>
          <w:b/>
          <w:bCs/>
        </w:rPr>
        <w:t xml:space="preserve">a </w:t>
      </w:r>
      <w:r w:rsidR="0038727B" w:rsidRPr="006437B2">
        <w:rPr>
          <w:rFonts w:cstheme="minorHAnsi"/>
          <w:b/>
          <w:bCs/>
        </w:rPr>
        <w:t>u</w:t>
      </w:r>
      <w:r w:rsidRPr="00401A4C">
        <w:rPr>
          <w:rFonts w:cstheme="minorHAnsi"/>
        </w:rPr>
        <w:t xml:space="preserve"> </w:t>
      </w:r>
      <w:r w:rsidR="003B7210" w:rsidRPr="00401A4C">
        <w:rPr>
          <w:rFonts w:cstheme="minorHAnsi"/>
        </w:rPr>
        <w:t xml:space="preserve">zástupců </w:t>
      </w:r>
      <w:r w:rsidRPr="006437B2">
        <w:rPr>
          <w:rFonts w:cstheme="minorHAnsi"/>
          <w:b/>
          <w:bCs/>
        </w:rPr>
        <w:t>6 nezávislých finančních řetězců</w:t>
      </w:r>
      <w:r w:rsidRPr="00401A4C">
        <w:rPr>
          <w:rFonts w:cstheme="minorHAnsi"/>
        </w:rPr>
        <w:t xml:space="preserve"> s vysokou výkonností anebo aktivním přístupem k neprofesionální</w:t>
      </w:r>
      <w:r w:rsidR="0038727B" w:rsidRPr="00401A4C">
        <w:rPr>
          <w:rFonts w:cstheme="minorHAnsi"/>
        </w:rPr>
        <w:t>m</w:t>
      </w:r>
      <w:r w:rsidRPr="00401A4C">
        <w:rPr>
          <w:rFonts w:cstheme="minorHAnsi"/>
        </w:rPr>
        <w:t xml:space="preserve"> zákazní</w:t>
      </w:r>
      <w:r w:rsidR="0038727B" w:rsidRPr="00401A4C">
        <w:rPr>
          <w:rFonts w:cstheme="minorHAnsi"/>
        </w:rPr>
        <w:t>ků</w:t>
      </w:r>
      <w:r w:rsidR="003B7210" w:rsidRPr="00401A4C">
        <w:rPr>
          <w:rFonts w:cstheme="minorHAnsi"/>
        </w:rPr>
        <w:t>m</w:t>
      </w:r>
      <w:r w:rsidR="00C81B17" w:rsidRPr="00401A4C">
        <w:rPr>
          <w:rFonts w:cstheme="minorHAnsi"/>
        </w:rPr>
        <w:t xml:space="preserve"> v ČR</w:t>
      </w:r>
      <w:r w:rsidRPr="00401A4C">
        <w:rPr>
          <w:rFonts w:cstheme="minorHAns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2472" w14:paraId="0B6303B0" w14:textId="77777777" w:rsidTr="002D2B93">
        <w:tc>
          <w:tcPr>
            <w:tcW w:w="4531" w:type="dxa"/>
            <w:shd w:val="clear" w:color="auto" w:fill="F2F2F2" w:themeFill="background1" w:themeFillShade="F2"/>
          </w:tcPr>
          <w:p w14:paraId="538D5705" w14:textId="77777777" w:rsidR="00522472" w:rsidRDefault="00522472" w:rsidP="00401A4C">
            <w:pPr>
              <w:pStyle w:val="-wm-msonormal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01A4C">
              <w:rPr>
                <w:rFonts w:asciiTheme="minorHAnsi" w:hAnsiTheme="minorHAnsi" w:cstheme="minorHAnsi"/>
                <w:lang w:eastAsia="en-US"/>
              </w:rPr>
              <w:t>Banky</w:t>
            </w:r>
          </w:p>
          <w:p w14:paraId="0071917F" w14:textId="5F016505" w:rsidR="00401A4C" w:rsidRPr="00401A4C" w:rsidRDefault="00401A4C" w:rsidP="00401A4C">
            <w:pPr>
              <w:pStyle w:val="-wm-msonormal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1FE766E4" w14:textId="5921065C" w:rsidR="00522472" w:rsidRPr="00401A4C" w:rsidRDefault="006437B2" w:rsidP="002D2B93">
            <w:pPr>
              <w:pStyle w:val="-wm-msonormal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</w:t>
            </w:r>
            <w:r w:rsidR="00522472" w:rsidRPr="00401A4C">
              <w:rPr>
                <w:rFonts w:asciiTheme="minorHAnsi" w:hAnsiTheme="minorHAnsi" w:cstheme="minorHAnsi"/>
                <w:lang w:eastAsia="en-US"/>
              </w:rPr>
              <w:t>ezávisl</w:t>
            </w:r>
            <w:r>
              <w:rPr>
                <w:rFonts w:asciiTheme="minorHAnsi" w:hAnsiTheme="minorHAnsi" w:cstheme="minorHAnsi"/>
                <w:lang w:eastAsia="en-US"/>
              </w:rPr>
              <w:t>é</w:t>
            </w:r>
            <w:r w:rsidR="00522472" w:rsidRPr="00401A4C">
              <w:rPr>
                <w:rFonts w:asciiTheme="minorHAnsi" w:hAnsiTheme="minorHAnsi" w:cstheme="minorHAnsi"/>
                <w:lang w:eastAsia="en-US"/>
              </w:rPr>
              <w:t xml:space="preserve"> finanční řetězc</w:t>
            </w:r>
            <w:r>
              <w:rPr>
                <w:rFonts w:asciiTheme="minorHAnsi" w:hAnsiTheme="minorHAnsi" w:cstheme="minorHAnsi"/>
                <w:lang w:eastAsia="en-US"/>
              </w:rPr>
              <w:t>e</w:t>
            </w:r>
          </w:p>
        </w:tc>
      </w:tr>
      <w:tr w:rsidR="00522472" w14:paraId="683D06B7" w14:textId="77777777" w:rsidTr="002D2B93">
        <w:tc>
          <w:tcPr>
            <w:tcW w:w="4531" w:type="dxa"/>
          </w:tcPr>
          <w:p w14:paraId="70912128" w14:textId="77777777" w:rsidR="00522472" w:rsidRPr="00401A4C" w:rsidRDefault="00522472" w:rsidP="002D2B93">
            <w:pPr>
              <w:pStyle w:val="-wm-msonormal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401A4C">
              <w:rPr>
                <w:rFonts w:asciiTheme="minorHAnsi" w:hAnsiTheme="minorHAnsi" w:cstheme="minorHAnsi"/>
                <w:lang w:eastAsia="en-US"/>
              </w:rPr>
              <w:t>Česká spořitelna, a.s.</w:t>
            </w:r>
          </w:p>
        </w:tc>
        <w:tc>
          <w:tcPr>
            <w:tcW w:w="4531" w:type="dxa"/>
          </w:tcPr>
          <w:p w14:paraId="0AB1F628" w14:textId="77777777" w:rsidR="00522472" w:rsidRPr="00401A4C" w:rsidRDefault="00522472" w:rsidP="002D2B93">
            <w:pPr>
              <w:pStyle w:val="-wm-msonormal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401A4C">
              <w:rPr>
                <w:rFonts w:asciiTheme="minorHAnsi" w:hAnsiTheme="minorHAnsi" w:cstheme="minorHAnsi"/>
                <w:lang w:eastAsia="en-US"/>
              </w:rPr>
              <w:t xml:space="preserve">Broker </w:t>
            </w:r>
            <w:proofErr w:type="spellStart"/>
            <w:r w:rsidRPr="00401A4C">
              <w:rPr>
                <w:rFonts w:asciiTheme="minorHAnsi" w:hAnsiTheme="minorHAnsi" w:cstheme="minorHAnsi"/>
                <w:lang w:eastAsia="en-US"/>
              </w:rPr>
              <w:t>Consulting</w:t>
            </w:r>
            <w:proofErr w:type="spellEnd"/>
            <w:r w:rsidRPr="00401A4C">
              <w:rPr>
                <w:rFonts w:asciiTheme="minorHAnsi" w:hAnsiTheme="minorHAnsi" w:cstheme="minorHAnsi"/>
                <w:lang w:eastAsia="en-US"/>
              </w:rPr>
              <w:t>, a.s.</w:t>
            </w:r>
          </w:p>
        </w:tc>
      </w:tr>
      <w:tr w:rsidR="00522472" w14:paraId="448F427F" w14:textId="77777777" w:rsidTr="002D2B93">
        <w:tc>
          <w:tcPr>
            <w:tcW w:w="4531" w:type="dxa"/>
          </w:tcPr>
          <w:p w14:paraId="08377E70" w14:textId="77777777" w:rsidR="00522472" w:rsidRPr="00401A4C" w:rsidRDefault="00522472" w:rsidP="002D2B93">
            <w:pPr>
              <w:pStyle w:val="-wm-msonormal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401A4C">
              <w:rPr>
                <w:rFonts w:asciiTheme="minorHAnsi" w:hAnsiTheme="minorHAnsi" w:cstheme="minorHAnsi"/>
                <w:lang w:eastAsia="en-US"/>
              </w:rPr>
              <w:t>Komerční banka, a.s.</w:t>
            </w:r>
          </w:p>
        </w:tc>
        <w:tc>
          <w:tcPr>
            <w:tcW w:w="4531" w:type="dxa"/>
          </w:tcPr>
          <w:p w14:paraId="53FA4E00" w14:textId="77777777" w:rsidR="00522472" w:rsidRPr="00401A4C" w:rsidRDefault="00522472" w:rsidP="002D2B93">
            <w:pPr>
              <w:pStyle w:val="-wm-msonormal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401A4C">
              <w:rPr>
                <w:rFonts w:asciiTheme="minorHAnsi" w:hAnsiTheme="minorHAnsi" w:cstheme="minorHAnsi"/>
                <w:lang w:eastAsia="en-US"/>
              </w:rPr>
              <w:t>Fincentrum</w:t>
            </w:r>
            <w:proofErr w:type="spellEnd"/>
            <w:r w:rsidRPr="00401A4C">
              <w:rPr>
                <w:rFonts w:asciiTheme="minorHAnsi" w:hAnsiTheme="minorHAnsi" w:cstheme="minorHAnsi"/>
                <w:lang w:eastAsia="en-US"/>
              </w:rPr>
              <w:t xml:space="preserve"> &amp; </w:t>
            </w:r>
            <w:proofErr w:type="spellStart"/>
            <w:r w:rsidRPr="00401A4C">
              <w:rPr>
                <w:rFonts w:asciiTheme="minorHAnsi" w:hAnsiTheme="minorHAnsi" w:cstheme="minorHAnsi"/>
                <w:lang w:eastAsia="en-US"/>
              </w:rPr>
              <w:t>Swiss</w:t>
            </w:r>
            <w:proofErr w:type="spellEnd"/>
            <w:r w:rsidRPr="00401A4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401A4C">
              <w:rPr>
                <w:rFonts w:asciiTheme="minorHAnsi" w:hAnsiTheme="minorHAnsi" w:cstheme="minorHAnsi"/>
                <w:lang w:eastAsia="en-US"/>
              </w:rPr>
              <w:t>Life</w:t>
            </w:r>
            <w:proofErr w:type="spellEnd"/>
            <w:r w:rsidRPr="00401A4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401A4C">
              <w:rPr>
                <w:rFonts w:asciiTheme="minorHAnsi" w:hAnsiTheme="minorHAnsi" w:cstheme="minorHAnsi"/>
                <w:lang w:eastAsia="en-US"/>
              </w:rPr>
              <w:t>Select</w:t>
            </w:r>
            <w:proofErr w:type="spellEnd"/>
            <w:r w:rsidRPr="00401A4C">
              <w:rPr>
                <w:rFonts w:asciiTheme="minorHAnsi" w:hAnsiTheme="minorHAnsi" w:cstheme="minorHAnsi"/>
                <w:lang w:eastAsia="en-US"/>
              </w:rPr>
              <w:t>, a.s.</w:t>
            </w:r>
          </w:p>
        </w:tc>
      </w:tr>
      <w:tr w:rsidR="00522472" w14:paraId="41C8254A" w14:textId="77777777" w:rsidTr="002D2B93">
        <w:tc>
          <w:tcPr>
            <w:tcW w:w="4531" w:type="dxa"/>
          </w:tcPr>
          <w:p w14:paraId="46F6DC93" w14:textId="77777777" w:rsidR="00522472" w:rsidRPr="00401A4C" w:rsidRDefault="00522472" w:rsidP="002D2B93">
            <w:pPr>
              <w:pStyle w:val="-wm-msonormal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401A4C">
              <w:rPr>
                <w:rFonts w:asciiTheme="minorHAnsi" w:hAnsiTheme="minorHAnsi" w:cstheme="minorHAnsi"/>
                <w:lang w:eastAsia="en-US"/>
              </w:rPr>
              <w:t>Československá obchodní banka, a.s.</w:t>
            </w:r>
          </w:p>
        </w:tc>
        <w:tc>
          <w:tcPr>
            <w:tcW w:w="4531" w:type="dxa"/>
          </w:tcPr>
          <w:p w14:paraId="0778D676" w14:textId="77777777" w:rsidR="00522472" w:rsidRPr="00401A4C" w:rsidRDefault="00522472" w:rsidP="002D2B93">
            <w:pPr>
              <w:pStyle w:val="-wm-msonormal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401A4C">
              <w:rPr>
                <w:rFonts w:asciiTheme="minorHAnsi" w:hAnsiTheme="minorHAnsi" w:cstheme="minorHAnsi"/>
                <w:lang w:eastAsia="en-US"/>
              </w:rPr>
              <w:t xml:space="preserve">OVB </w:t>
            </w:r>
            <w:proofErr w:type="spellStart"/>
            <w:r w:rsidRPr="00401A4C">
              <w:rPr>
                <w:rFonts w:asciiTheme="minorHAnsi" w:hAnsiTheme="minorHAnsi" w:cstheme="minorHAnsi"/>
                <w:lang w:eastAsia="en-US"/>
              </w:rPr>
              <w:t>Allfinance</w:t>
            </w:r>
            <w:proofErr w:type="spellEnd"/>
            <w:r w:rsidRPr="00401A4C">
              <w:rPr>
                <w:rFonts w:asciiTheme="minorHAnsi" w:hAnsiTheme="minorHAnsi" w:cstheme="minorHAnsi"/>
                <w:lang w:eastAsia="en-US"/>
              </w:rPr>
              <w:t>, a.s.</w:t>
            </w:r>
          </w:p>
        </w:tc>
      </w:tr>
      <w:tr w:rsidR="00522472" w14:paraId="1A8F4AB4" w14:textId="77777777" w:rsidTr="002D2B93">
        <w:tc>
          <w:tcPr>
            <w:tcW w:w="4531" w:type="dxa"/>
          </w:tcPr>
          <w:p w14:paraId="364B591B" w14:textId="77777777" w:rsidR="00522472" w:rsidRPr="00401A4C" w:rsidRDefault="00522472" w:rsidP="002D2B93">
            <w:pPr>
              <w:pStyle w:val="-wm-msonormal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1" w:type="dxa"/>
          </w:tcPr>
          <w:p w14:paraId="03A636C1" w14:textId="77777777" w:rsidR="00522472" w:rsidRPr="00401A4C" w:rsidRDefault="00522472" w:rsidP="002D2B93">
            <w:pPr>
              <w:pStyle w:val="-wm-msonormal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401A4C">
              <w:rPr>
                <w:rFonts w:asciiTheme="minorHAnsi" w:hAnsiTheme="minorHAnsi" w:cstheme="minorHAnsi"/>
                <w:lang w:eastAsia="en-US"/>
              </w:rPr>
              <w:t>Partneři finanční služby, a.s.</w:t>
            </w:r>
          </w:p>
        </w:tc>
      </w:tr>
      <w:tr w:rsidR="00522472" w14:paraId="5BB73B08" w14:textId="77777777" w:rsidTr="002D2B93">
        <w:tc>
          <w:tcPr>
            <w:tcW w:w="4531" w:type="dxa"/>
          </w:tcPr>
          <w:p w14:paraId="0631A4E6" w14:textId="77777777" w:rsidR="00522472" w:rsidRPr="00401A4C" w:rsidRDefault="00522472" w:rsidP="002D2B93">
            <w:pPr>
              <w:pStyle w:val="-wm-msonormal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1" w:type="dxa"/>
          </w:tcPr>
          <w:p w14:paraId="398FC64D" w14:textId="77777777" w:rsidR="00522472" w:rsidRPr="00401A4C" w:rsidRDefault="00522472" w:rsidP="002D2B93">
            <w:pPr>
              <w:pStyle w:val="-wm-msonormal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401A4C">
              <w:rPr>
                <w:rFonts w:asciiTheme="minorHAnsi" w:hAnsiTheme="minorHAnsi" w:cstheme="minorHAnsi"/>
                <w:lang w:eastAsia="en-US"/>
              </w:rPr>
              <w:t>Conseq</w:t>
            </w:r>
            <w:proofErr w:type="spellEnd"/>
            <w:r w:rsidRPr="00401A4C">
              <w:rPr>
                <w:rFonts w:asciiTheme="minorHAnsi" w:hAnsiTheme="minorHAnsi" w:cstheme="minorHAnsi"/>
                <w:lang w:eastAsia="en-US"/>
              </w:rPr>
              <w:t xml:space="preserve"> Finance, a.s.</w:t>
            </w:r>
          </w:p>
        </w:tc>
      </w:tr>
      <w:tr w:rsidR="00522472" w14:paraId="1C7D1706" w14:textId="77777777" w:rsidTr="002D2B93">
        <w:tc>
          <w:tcPr>
            <w:tcW w:w="4531" w:type="dxa"/>
          </w:tcPr>
          <w:p w14:paraId="1F60918D" w14:textId="77777777" w:rsidR="00522472" w:rsidRPr="00401A4C" w:rsidRDefault="00522472" w:rsidP="002D2B93">
            <w:pPr>
              <w:pStyle w:val="-wm-msonormal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1" w:type="dxa"/>
          </w:tcPr>
          <w:p w14:paraId="56BC9A6C" w14:textId="77777777" w:rsidR="00522472" w:rsidRPr="00401A4C" w:rsidRDefault="00522472" w:rsidP="002D2B93">
            <w:pPr>
              <w:pStyle w:val="-wm-msonormal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401A4C">
              <w:rPr>
                <w:rFonts w:asciiTheme="minorHAnsi" w:hAnsiTheme="minorHAnsi" w:cstheme="minorHAnsi"/>
                <w:lang w:eastAsia="en-US"/>
              </w:rPr>
              <w:t>DataLife</w:t>
            </w:r>
            <w:proofErr w:type="spellEnd"/>
            <w:r w:rsidRPr="00401A4C">
              <w:rPr>
                <w:rFonts w:asciiTheme="minorHAnsi" w:hAnsiTheme="minorHAnsi" w:cstheme="minorHAnsi"/>
                <w:lang w:eastAsia="en-US"/>
              </w:rPr>
              <w:t>, a.s.</w:t>
            </w:r>
          </w:p>
        </w:tc>
      </w:tr>
    </w:tbl>
    <w:p w14:paraId="2C909DB9" w14:textId="77777777" w:rsidR="003B7210" w:rsidRDefault="003B7210" w:rsidP="006C1914">
      <w:pPr>
        <w:rPr>
          <w:rFonts w:cstheme="minorHAnsi"/>
          <w:u w:val="single"/>
        </w:rPr>
      </w:pPr>
    </w:p>
    <w:p w14:paraId="414E669C" w14:textId="13CEAC59" w:rsidR="006437B2" w:rsidRDefault="00737CA1" w:rsidP="00832C8D">
      <w:pPr>
        <w:jc w:val="both"/>
      </w:pPr>
      <w:r w:rsidRPr="00832C8D">
        <w:t xml:space="preserve">Pro </w:t>
      </w:r>
      <w:r w:rsidR="000C111E" w:rsidRPr="00832C8D">
        <w:t xml:space="preserve">vyhodnocení komunikace a nabídky </w:t>
      </w:r>
      <w:r w:rsidR="00832C8D" w:rsidRPr="00832C8D">
        <w:t xml:space="preserve">konkrétních </w:t>
      </w:r>
      <w:r w:rsidR="000C111E" w:rsidRPr="00832C8D">
        <w:t xml:space="preserve">produktů </w:t>
      </w:r>
      <w:r w:rsidR="00832C8D" w:rsidRPr="00832C8D">
        <w:t xml:space="preserve">byl vytvořen </w:t>
      </w:r>
      <w:r w:rsidR="00993C8C" w:rsidRPr="00832C8D">
        <w:t>hodnotí</w:t>
      </w:r>
      <w:r w:rsidR="00993C8C">
        <w:t>cí</w:t>
      </w:r>
      <w:r w:rsidR="00993C8C" w:rsidRPr="00832C8D">
        <w:t xml:space="preserve"> </w:t>
      </w:r>
      <w:r w:rsidR="00832C8D" w:rsidRPr="00832C8D">
        <w:t xml:space="preserve">profilový dotazník, který </w:t>
      </w:r>
      <w:r w:rsidR="00832C8D">
        <w:t xml:space="preserve">byl </w:t>
      </w:r>
      <w:r w:rsidR="00CF7F14">
        <w:t xml:space="preserve">zaměřen </w:t>
      </w:r>
      <w:r w:rsidR="00714227">
        <w:t xml:space="preserve">jak na finanční situaci </w:t>
      </w:r>
      <w:r w:rsidR="0074686A">
        <w:t xml:space="preserve">a znalosti a zkušenosti </w:t>
      </w:r>
      <w:r w:rsidR="00C84B12">
        <w:t xml:space="preserve">najatých </w:t>
      </w:r>
      <w:proofErr w:type="spellStart"/>
      <w:r w:rsidR="00C84B12">
        <w:t>mystery</w:t>
      </w:r>
      <w:proofErr w:type="spellEnd"/>
      <w:r w:rsidR="00C84B12">
        <w:t xml:space="preserve"> </w:t>
      </w:r>
      <w:proofErr w:type="spellStart"/>
      <w:r w:rsidR="00C84B12">
        <w:t>shopperů</w:t>
      </w:r>
      <w:proofErr w:type="spellEnd"/>
      <w:r w:rsidR="00355C4E">
        <w:t>,</w:t>
      </w:r>
      <w:r w:rsidR="00C84B12">
        <w:t xml:space="preserve"> </w:t>
      </w:r>
      <w:r w:rsidR="006E7E9B">
        <w:t>stejně jako na jejich finanční</w:t>
      </w:r>
      <w:r w:rsidR="003923CD">
        <w:t xml:space="preserve"> </w:t>
      </w:r>
      <w:r w:rsidR="006E7E9B">
        <w:t>i</w:t>
      </w:r>
      <w:r w:rsidR="003923CD">
        <w:t xml:space="preserve"> </w:t>
      </w:r>
      <w:r w:rsidR="006E7E9B">
        <w:t xml:space="preserve">nefinanční cíle </w:t>
      </w:r>
      <w:r w:rsidR="00355C4E">
        <w:t xml:space="preserve">v oblasti udržitelného financování, a to s důrazem </w:t>
      </w:r>
      <w:r w:rsidR="00C371D2">
        <w:t xml:space="preserve">na jejich </w:t>
      </w:r>
      <w:r w:rsidR="004A26BE">
        <w:t xml:space="preserve">větší </w:t>
      </w:r>
      <w:r w:rsidR="00C371D2">
        <w:t xml:space="preserve">toleranci rizika </w:t>
      </w:r>
      <w:r w:rsidR="004A26BE">
        <w:t xml:space="preserve">u </w:t>
      </w:r>
      <w:r w:rsidR="008A37A0">
        <w:t xml:space="preserve">právě </w:t>
      </w:r>
      <w:r w:rsidR="008A37A0" w:rsidRPr="00832C8D">
        <w:t>produktů</w:t>
      </w:r>
      <w:r w:rsidR="008A37A0">
        <w:t xml:space="preserve"> udržitelného financování.</w:t>
      </w:r>
    </w:p>
    <w:p w14:paraId="383F4E1A" w14:textId="0F2E550E" w:rsidR="00C80640" w:rsidRPr="00C3135C" w:rsidRDefault="00C80640" w:rsidP="00C3135C">
      <w:pPr>
        <w:jc w:val="both"/>
      </w:pPr>
      <w:r w:rsidRPr="00C3135C">
        <w:rPr>
          <w:b/>
          <w:bCs/>
        </w:rPr>
        <w:t>Klíčov</w:t>
      </w:r>
      <w:r w:rsidR="00060C09">
        <w:rPr>
          <w:b/>
          <w:bCs/>
        </w:rPr>
        <w:t>á</w:t>
      </w:r>
      <w:r w:rsidRPr="00C3135C">
        <w:rPr>
          <w:b/>
          <w:bCs/>
        </w:rPr>
        <w:t xml:space="preserve"> zjištění</w:t>
      </w:r>
      <w:r w:rsidRPr="00C3135C">
        <w:t>:</w:t>
      </w:r>
    </w:p>
    <w:p w14:paraId="6FA3FAAF" w14:textId="27A5876D" w:rsidR="00C80640" w:rsidRDefault="00C80640" w:rsidP="00C3135C">
      <w:pPr>
        <w:jc w:val="both"/>
      </w:pPr>
      <w:r w:rsidRPr="00C3135C">
        <w:t xml:space="preserve">Téměř žádný poradce nebyl schopen reagovat </w:t>
      </w:r>
      <w:r w:rsidR="0017578C" w:rsidRPr="00C3135C">
        <w:t xml:space="preserve">adekvátním způsobem </w:t>
      </w:r>
      <w:r w:rsidRPr="00C3135C">
        <w:t xml:space="preserve">na přání klienta investovat </w:t>
      </w:r>
      <w:r w:rsidR="009B0FE9">
        <w:t>„</w:t>
      </w:r>
      <w:r w:rsidRPr="00C3135C">
        <w:t>zeleným způsobem</w:t>
      </w:r>
      <w:r w:rsidR="009B0FE9">
        <w:t>“</w:t>
      </w:r>
      <w:r w:rsidR="001F7330" w:rsidRPr="00C3135C">
        <w:t xml:space="preserve"> a poradci </w:t>
      </w:r>
      <w:r w:rsidR="00216DA0" w:rsidRPr="00C3135C">
        <w:t xml:space="preserve">zejména </w:t>
      </w:r>
      <w:r w:rsidR="00922298" w:rsidRPr="00C3135C">
        <w:t xml:space="preserve">v bankách </w:t>
      </w:r>
      <w:r w:rsidR="00BF3249">
        <w:t xml:space="preserve">pak </w:t>
      </w:r>
      <w:r w:rsidR="00922298" w:rsidRPr="00C3135C">
        <w:t xml:space="preserve">projevili </w:t>
      </w:r>
      <w:r w:rsidR="00BF3249">
        <w:t xml:space="preserve">i </w:t>
      </w:r>
      <w:r w:rsidR="00922298" w:rsidRPr="00C3135C">
        <w:t>velmi málo znalostí o produktech</w:t>
      </w:r>
      <w:r w:rsidR="00C3135C" w:rsidRPr="00C3135C">
        <w:t xml:space="preserve"> </w:t>
      </w:r>
      <w:r w:rsidR="00C3135C">
        <w:t>udržitelného financování.</w:t>
      </w:r>
    </w:p>
    <w:p w14:paraId="57ACB1F7" w14:textId="77777777" w:rsidR="007510B0" w:rsidRDefault="007510B0" w:rsidP="00C3135C">
      <w:pPr>
        <w:jc w:val="both"/>
      </w:pPr>
    </w:p>
    <w:p w14:paraId="46CADACA" w14:textId="343565CD" w:rsidR="007510B0" w:rsidRPr="00C3135C" w:rsidRDefault="00320DD0" w:rsidP="00C3135C">
      <w:pPr>
        <w:jc w:val="both"/>
      </w:pPr>
      <w:r>
        <w:rPr>
          <w:noProof/>
          <w:lang w:val="en-GB"/>
        </w:rPr>
        <w:drawing>
          <wp:inline distT="0" distB="0" distL="0" distR="0" wp14:anchorId="448CC762" wp14:editId="43B80E89">
            <wp:extent cx="1971675" cy="158432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05402">
        <w:rPr>
          <w:noProof/>
          <w:lang w:val="en-GB"/>
        </w:rPr>
        <w:drawing>
          <wp:inline distT="0" distB="0" distL="0" distR="0" wp14:anchorId="6A984C37" wp14:editId="5EF49616">
            <wp:extent cx="1968500" cy="1584325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55042">
        <w:rPr>
          <w:noProof/>
          <w:lang w:val="en-GB"/>
        </w:rPr>
        <w:drawing>
          <wp:inline distT="0" distB="0" distL="0" distR="0" wp14:anchorId="7F8F2736" wp14:editId="06207998">
            <wp:extent cx="1781175" cy="1584325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D9A0323" w14:textId="77777777" w:rsidR="00AB0B80" w:rsidRDefault="00AB0B80" w:rsidP="00C80640">
      <w:pPr>
        <w:pStyle w:val="-wm-msonormal"/>
        <w:jc w:val="both"/>
        <w:rPr>
          <w:lang w:val="cs"/>
        </w:rPr>
      </w:pPr>
    </w:p>
    <w:p w14:paraId="00D1B5D7" w14:textId="156B4E65" w:rsidR="007F17BB" w:rsidRDefault="00550F00" w:rsidP="00D9035E">
      <w:pPr>
        <w:jc w:val="both"/>
      </w:pPr>
      <w:r w:rsidRPr="00D9035E">
        <w:t>A b</w:t>
      </w:r>
      <w:r w:rsidR="00E051E7" w:rsidRPr="00D9035E">
        <w:t>ohužel se</w:t>
      </w:r>
      <w:r w:rsidR="00C80640" w:rsidRPr="00D9035E">
        <w:t xml:space="preserve"> </w:t>
      </w:r>
      <w:r w:rsidR="00E548B6">
        <w:t xml:space="preserve">také </w:t>
      </w:r>
      <w:r w:rsidR="00C80640" w:rsidRPr="00D9035E">
        <w:t xml:space="preserve">zdá, že </w:t>
      </w:r>
      <w:r w:rsidRPr="00D9035E">
        <w:t xml:space="preserve">poradci </w:t>
      </w:r>
      <w:r w:rsidR="009F5267">
        <w:t>měli</w:t>
      </w:r>
      <w:r w:rsidR="00C80640" w:rsidRPr="00D9035E">
        <w:t xml:space="preserve"> </w:t>
      </w:r>
      <w:r w:rsidR="003C408B">
        <w:t xml:space="preserve">v bankách i nebankovních </w:t>
      </w:r>
      <w:r w:rsidR="00F64C7C">
        <w:t xml:space="preserve">řetězcích </w:t>
      </w:r>
      <w:r w:rsidR="008609BD">
        <w:t xml:space="preserve">obecně </w:t>
      </w:r>
      <w:r w:rsidR="00C80640" w:rsidRPr="00D9035E">
        <w:t>tendenci klienta</w:t>
      </w:r>
      <w:r w:rsidR="00C56D24">
        <w:t>/y</w:t>
      </w:r>
      <w:r w:rsidR="00C80640" w:rsidRPr="00D9035E">
        <w:t xml:space="preserve"> </w:t>
      </w:r>
      <w:r w:rsidR="00A07AD3" w:rsidRPr="00D9035E">
        <w:t xml:space="preserve">s </w:t>
      </w:r>
      <w:r w:rsidR="00A07AD3">
        <w:t xml:space="preserve">větší tolerancí rizika </w:t>
      </w:r>
      <w:r w:rsidR="00C56D24">
        <w:t>k</w:t>
      </w:r>
      <w:r w:rsidR="00A07AD3">
        <w:t xml:space="preserve"> </w:t>
      </w:r>
      <w:r w:rsidR="00A07AD3" w:rsidRPr="00832C8D">
        <w:t>produktů</w:t>
      </w:r>
      <w:r w:rsidR="00C56D24">
        <w:t>m</w:t>
      </w:r>
      <w:r w:rsidR="00A07AD3">
        <w:t xml:space="preserve"> udržitelného financování</w:t>
      </w:r>
      <w:r w:rsidR="00A07AD3" w:rsidRPr="00D9035E">
        <w:t xml:space="preserve"> nasměrovat </w:t>
      </w:r>
      <w:r w:rsidR="00C80640" w:rsidRPr="00D9035E">
        <w:t xml:space="preserve">na nevhodný produkt, </w:t>
      </w:r>
      <w:r w:rsidR="00207E0E">
        <w:t xml:space="preserve">který mají </w:t>
      </w:r>
      <w:r w:rsidR="00D11316">
        <w:t>„</w:t>
      </w:r>
      <w:r w:rsidR="00876A70">
        <w:t xml:space="preserve">ve svém portfoliu </w:t>
      </w:r>
      <w:r w:rsidR="009F5267">
        <w:t xml:space="preserve">připravený“, a to </w:t>
      </w:r>
      <w:r w:rsidR="00C80640" w:rsidRPr="00D9035E">
        <w:t>i když plně chápali jeho</w:t>
      </w:r>
      <w:r w:rsidR="00D11316">
        <w:t>/jejich</w:t>
      </w:r>
      <w:r w:rsidR="00C80640" w:rsidRPr="00D9035E">
        <w:t xml:space="preserve"> </w:t>
      </w:r>
      <w:r w:rsidR="008A03F0">
        <w:t>zájem</w:t>
      </w:r>
      <w:r w:rsidR="007F17BB">
        <w:t xml:space="preserve"> investovat udržitelným způsobem.</w:t>
      </w:r>
    </w:p>
    <w:p w14:paraId="27C4001F" w14:textId="038588F7" w:rsidR="007F17BB" w:rsidRDefault="00BB1753" w:rsidP="00934CB7">
      <w:pPr>
        <w:jc w:val="center"/>
      </w:pPr>
      <w:r>
        <w:rPr>
          <w:noProof/>
          <w:lang w:val="en-GB"/>
        </w:rPr>
        <w:drawing>
          <wp:inline distT="0" distB="0" distL="0" distR="0" wp14:anchorId="3A016254" wp14:editId="05165485">
            <wp:extent cx="1781175" cy="1584325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34CB7">
        <w:rPr>
          <w:noProof/>
          <w:lang w:val="en-GB"/>
        </w:rPr>
        <w:drawing>
          <wp:inline distT="0" distB="0" distL="0" distR="0" wp14:anchorId="34E423ED" wp14:editId="151F0EE9">
            <wp:extent cx="1781175" cy="1584325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D4F11B" w14:textId="57FB93BB" w:rsidR="00C80640" w:rsidRPr="00D9035E" w:rsidRDefault="004C7955" w:rsidP="00D9035E">
      <w:pPr>
        <w:jc w:val="both"/>
      </w:pPr>
      <w:r>
        <w:t xml:space="preserve">A rovněž se zdá, že </w:t>
      </w:r>
      <w:r w:rsidR="00C80640" w:rsidRPr="00D9035E">
        <w:t xml:space="preserve">termín "dopad" představující </w:t>
      </w:r>
      <w:r w:rsidR="00F64C7C">
        <w:t>ne</w:t>
      </w:r>
      <w:r w:rsidR="00C80640" w:rsidRPr="00D9035E">
        <w:t xml:space="preserve">finanční </w:t>
      </w:r>
      <w:r w:rsidR="00F64C7C" w:rsidRPr="00D9035E">
        <w:t>charakteristiky nabízených produktů</w:t>
      </w:r>
      <w:r w:rsidR="003632E2">
        <w:t xml:space="preserve">, tj. </w:t>
      </w:r>
      <w:r w:rsidR="007A6398">
        <w:t xml:space="preserve">především </w:t>
      </w:r>
      <w:r w:rsidR="003632E2">
        <w:t xml:space="preserve">jejich </w:t>
      </w:r>
      <w:r w:rsidR="00C80640" w:rsidRPr="00D9035E">
        <w:t>sociální, environmentální a etické aspekty</w:t>
      </w:r>
      <w:r w:rsidR="003632E2">
        <w:t>,</w:t>
      </w:r>
      <w:r w:rsidR="00C80640" w:rsidRPr="00D9035E">
        <w:t xml:space="preserve"> </w:t>
      </w:r>
      <w:r w:rsidR="003632E2" w:rsidRPr="00D9035E">
        <w:t>v pokyn</w:t>
      </w:r>
      <w:r w:rsidR="003632E2">
        <w:t>ech</w:t>
      </w:r>
      <w:r w:rsidR="003632E2" w:rsidRPr="00D9035E">
        <w:t xml:space="preserve"> </w:t>
      </w:r>
      <w:r w:rsidR="003404F3">
        <w:t xml:space="preserve">poradců </w:t>
      </w:r>
      <w:r w:rsidR="00C80640" w:rsidRPr="00D9035E">
        <w:t xml:space="preserve">pravděpodobně </w:t>
      </w:r>
      <w:r w:rsidR="00ED0589">
        <w:t xml:space="preserve">zcela </w:t>
      </w:r>
      <w:r w:rsidR="00C80640" w:rsidRPr="00D9035E">
        <w:t>chyb</w:t>
      </w:r>
      <w:r w:rsidR="00ED0589">
        <w:t>í</w:t>
      </w:r>
      <w:r w:rsidR="00C80640" w:rsidRPr="00D9035E">
        <w:t>.</w:t>
      </w:r>
    </w:p>
    <w:p w14:paraId="04325115" w14:textId="133A8D0A" w:rsidR="00C80640" w:rsidRDefault="00C80640" w:rsidP="00D9035E">
      <w:pPr>
        <w:jc w:val="both"/>
      </w:pPr>
      <w:r w:rsidRPr="00D9035E">
        <w:t xml:space="preserve">Výjimkou </w:t>
      </w:r>
      <w:r w:rsidR="00D82C71" w:rsidRPr="00D9035E">
        <w:t xml:space="preserve">s ohledem na kritéria ESG </w:t>
      </w:r>
      <w:r w:rsidR="003404F3">
        <w:t xml:space="preserve">reagující </w:t>
      </w:r>
      <w:r w:rsidR="009B0FE9" w:rsidRPr="00C3135C">
        <w:t>na přání klienta</w:t>
      </w:r>
      <w:r w:rsidR="009B0FE9">
        <w:t>/ů</w:t>
      </w:r>
      <w:r w:rsidR="009B0FE9" w:rsidRPr="00C3135C">
        <w:t xml:space="preserve"> investovat </w:t>
      </w:r>
      <w:r w:rsidR="009B0FE9">
        <w:t>„</w:t>
      </w:r>
      <w:r w:rsidR="009B0FE9" w:rsidRPr="00C3135C">
        <w:t>zeleným způsobem</w:t>
      </w:r>
      <w:r w:rsidR="009B0FE9">
        <w:t>“</w:t>
      </w:r>
      <w:r w:rsidR="009B0FE9" w:rsidRPr="00D9035E">
        <w:t xml:space="preserve"> </w:t>
      </w:r>
      <w:r w:rsidR="00F575F3">
        <w:t xml:space="preserve">byl </w:t>
      </w:r>
      <w:r w:rsidR="00BA1A88">
        <w:t xml:space="preserve">pouze 1 </w:t>
      </w:r>
      <w:r w:rsidRPr="00D9035E">
        <w:t>poradce</w:t>
      </w:r>
      <w:r w:rsidR="00BA1A88">
        <w:t xml:space="preserve"> společnosti</w:t>
      </w:r>
      <w:r w:rsidRPr="00D9035E">
        <w:t xml:space="preserve"> </w:t>
      </w:r>
      <w:proofErr w:type="spellStart"/>
      <w:r w:rsidRPr="00D9035E">
        <w:t>Conseq</w:t>
      </w:r>
      <w:proofErr w:type="spellEnd"/>
      <w:r w:rsidRPr="00D9035E">
        <w:t xml:space="preserve"> Finance, a.s. </w:t>
      </w:r>
      <w:r w:rsidR="00C24964">
        <w:t>a jeho</w:t>
      </w:r>
      <w:r w:rsidRPr="00D9035E">
        <w:t xml:space="preserve"> nabídka potenciální </w:t>
      </w:r>
      <w:r w:rsidR="00C24964">
        <w:t xml:space="preserve">konkrétní </w:t>
      </w:r>
      <w:r w:rsidRPr="00D9035E">
        <w:t>investice do Evropského fondu udržitelného kapitálu</w:t>
      </w:r>
      <w:r w:rsidRPr="00C24964">
        <w:rPr>
          <w:vertAlign w:val="superscript"/>
        </w:rPr>
        <w:footnoteReference w:id="1"/>
      </w:r>
      <w:r w:rsidRPr="00D9035E">
        <w:t xml:space="preserve"> anebo </w:t>
      </w:r>
      <w:r w:rsidR="00CD150A">
        <w:t xml:space="preserve">do </w:t>
      </w:r>
      <w:r w:rsidRPr="00D9035E">
        <w:t>Fondu pro udržitelnou vodu a odpady</w:t>
      </w:r>
      <w:r w:rsidR="00CD150A" w:rsidRPr="00CD150A">
        <w:rPr>
          <w:vertAlign w:val="superscript"/>
        </w:rPr>
        <w:footnoteReference w:id="2"/>
      </w:r>
      <w:r w:rsidRPr="00D9035E">
        <w:t xml:space="preserve">, ale </w:t>
      </w:r>
      <w:r w:rsidR="00C577FD">
        <w:t xml:space="preserve">i zde </w:t>
      </w:r>
      <w:r w:rsidRPr="00D9035E">
        <w:t>s omezenými argumenty pro jeden z</w:t>
      </w:r>
      <w:r w:rsidR="00C577FD">
        <w:t xml:space="preserve"> těchto </w:t>
      </w:r>
      <w:r w:rsidRPr="00D9035E">
        <w:t>dvou finančních titulů.</w:t>
      </w:r>
    </w:p>
    <w:p w14:paraId="6A8E2741" w14:textId="70E52DCA" w:rsidR="00CD19D1" w:rsidRPr="00CD19D1" w:rsidRDefault="00CD19D1" w:rsidP="00CD19D1">
      <w:pPr>
        <w:jc w:val="both"/>
      </w:pPr>
      <w:r w:rsidRPr="00CD19D1">
        <w:rPr>
          <w:b/>
          <w:bCs/>
        </w:rPr>
        <w:t xml:space="preserve">Celkové </w:t>
      </w:r>
      <w:r>
        <w:rPr>
          <w:b/>
          <w:bCs/>
        </w:rPr>
        <w:t>z</w:t>
      </w:r>
      <w:r w:rsidRPr="00CD19D1">
        <w:rPr>
          <w:b/>
          <w:bCs/>
        </w:rPr>
        <w:t>hodnocení</w:t>
      </w:r>
      <w:r w:rsidRPr="00CD19D1">
        <w:t>:</w:t>
      </w:r>
    </w:p>
    <w:p w14:paraId="6A84C96B" w14:textId="1BBE2717" w:rsidR="00CD19D1" w:rsidRPr="00CD19D1" w:rsidRDefault="00CD19D1" w:rsidP="00CD19D1">
      <w:pPr>
        <w:jc w:val="both"/>
      </w:pPr>
      <w:r w:rsidRPr="00CD19D1">
        <w:t xml:space="preserve">Poradcům se podařilo splnit zákonné podmínky pro výkon investičních zprostředkovatelů </w:t>
      </w:r>
      <w:r w:rsidR="00D43C9C">
        <w:t>dané</w:t>
      </w:r>
      <w:r w:rsidRPr="00CD19D1">
        <w:t xml:space="preserve"> národním finančním regulátorem (Českou národní bankou), aby se vyhnuli případnému postihu, </w:t>
      </w:r>
      <w:r w:rsidR="008948DA">
        <w:t xml:space="preserve">ale </w:t>
      </w:r>
      <w:r w:rsidRPr="00CD19D1">
        <w:t>nemohli nabízet produkty</w:t>
      </w:r>
      <w:r w:rsidR="002661DB">
        <w:t>, se kterými nejsou</w:t>
      </w:r>
      <w:r w:rsidR="00643BE7">
        <w:t xml:space="preserve"> zřejmě</w:t>
      </w:r>
      <w:r w:rsidRPr="00CD19D1">
        <w:t xml:space="preserve"> </w:t>
      </w:r>
      <w:r w:rsidR="00865A83">
        <w:t xml:space="preserve">bohužel </w:t>
      </w:r>
      <w:r w:rsidR="008B6338">
        <w:t xml:space="preserve">dostatečně </w:t>
      </w:r>
      <w:r w:rsidRPr="00CD19D1">
        <w:t xml:space="preserve">obeznámeni a v naprosté většině případů měli </w:t>
      </w:r>
      <w:r w:rsidR="00865A83">
        <w:t>také</w:t>
      </w:r>
      <w:r w:rsidR="008B6338">
        <w:t xml:space="preserve"> </w:t>
      </w:r>
      <w:r w:rsidRPr="00CD19D1">
        <w:t xml:space="preserve">tendenci nabízet </w:t>
      </w:r>
      <w:r w:rsidR="00007299">
        <w:t>klientovi/</w:t>
      </w:r>
      <w:proofErr w:type="spellStart"/>
      <w:r w:rsidR="00007299">
        <w:t>ům</w:t>
      </w:r>
      <w:proofErr w:type="spellEnd"/>
      <w:r w:rsidR="00007299">
        <w:t xml:space="preserve"> </w:t>
      </w:r>
      <w:r w:rsidRPr="00CD19D1">
        <w:t xml:space="preserve">investiční produkty, které neodpovídaly </w:t>
      </w:r>
      <w:r w:rsidR="00007299">
        <w:t xml:space="preserve">jeho/jejich </w:t>
      </w:r>
      <w:r w:rsidRPr="00CD19D1">
        <w:t>preferencím.</w:t>
      </w:r>
    </w:p>
    <w:p w14:paraId="476EC56A" w14:textId="77777777" w:rsidR="008A37A0" w:rsidRPr="00832C8D" w:rsidRDefault="008A37A0" w:rsidP="00832C8D">
      <w:pPr>
        <w:jc w:val="both"/>
      </w:pPr>
    </w:p>
    <w:p w14:paraId="44DB1A2A" w14:textId="33610885" w:rsidR="006C1914" w:rsidRPr="008106D3" w:rsidRDefault="006C1914" w:rsidP="006C1914">
      <w:pPr>
        <w:rPr>
          <w:rFonts w:cstheme="minorHAnsi"/>
          <w:u w:val="single"/>
        </w:rPr>
      </w:pPr>
      <w:r w:rsidRPr="008106D3">
        <w:rPr>
          <w:rFonts w:cstheme="minorHAnsi"/>
          <w:u w:val="single"/>
        </w:rPr>
        <w:t>Vyhodnocení dopadu projektu</w:t>
      </w:r>
      <w:r>
        <w:rPr>
          <w:rFonts w:cstheme="minorHAnsi"/>
          <w:u w:val="single"/>
        </w:rPr>
        <w:t xml:space="preserve"> na spotřebitelskou veřejnost</w:t>
      </w:r>
    </w:p>
    <w:p w14:paraId="75B2E23E" w14:textId="0FDF2C59" w:rsidR="00D72F4C" w:rsidRDefault="006C1914" w:rsidP="00AB5B50">
      <w:pPr>
        <w:jc w:val="both"/>
      </w:pPr>
      <w:r>
        <w:t xml:space="preserve">Tento projekt přispěl </w:t>
      </w:r>
      <w:r w:rsidR="00D72F4C">
        <w:t>k vyhodnocení situace</w:t>
      </w:r>
      <w:r w:rsidR="005A70C1">
        <w:t xml:space="preserve">, do jaké míry jsou </w:t>
      </w:r>
      <w:r w:rsidR="004279AE">
        <w:t xml:space="preserve">dnes </w:t>
      </w:r>
      <w:r w:rsidR="005A70C1">
        <w:t xml:space="preserve">finanční poradci </w:t>
      </w:r>
      <w:r w:rsidR="006D4210">
        <w:t>schopni reagovat na nefinanční cíle svých klientů</w:t>
      </w:r>
      <w:r w:rsidR="00DF1B12">
        <w:t xml:space="preserve"> v oblasti ESG</w:t>
      </w:r>
      <w:r w:rsidR="004279AE">
        <w:t xml:space="preserve">, a může </w:t>
      </w:r>
      <w:r w:rsidR="00722BAB">
        <w:t xml:space="preserve">pak napomoci </w:t>
      </w:r>
      <w:r w:rsidR="00504DFB">
        <w:t>i těm f</w:t>
      </w:r>
      <w:r w:rsidR="00504DFB" w:rsidRPr="007F17CB">
        <w:t>inanční</w:t>
      </w:r>
      <w:r w:rsidR="00504DFB">
        <w:t>m</w:t>
      </w:r>
      <w:r w:rsidR="00504DFB" w:rsidRPr="007F17CB">
        <w:t xml:space="preserve"> poradc</w:t>
      </w:r>
      <w:r w:rsidR="00504DFB">
        <w:t>ům</w:t>
      </w:r>
      <w:r w:rsidR="00504DFB" w:rsidRPr="007F17CB">
        <w:t xml:space="preserve"> a distributo</w:t>
      </w:r>
      <w:r w:rsidR="00504DFB">
        <w:t xml:space="preserve">rům investičních produktů, kteří jsou </w:t>
      </w:r>
      <w:r w:rsidR="00504DFB" w:rsidRPr="007F17CB">
        <w:t>na</w:t>
      </w:r>
      <w:r w:rsidR="00504DFB">
        <w:t xml:space="preserve"> preference svých klientů</w:t>
      </w:r>
      <w:r w:rsidR="00061BC3" w:rsidRPr="00061BC3">
        <w:t xml:space="preserve"> </w:t>
      </w:r>
      <w:r w:rsidR="00061BC3" w:rsidRPr="007F17CB">
        <w:t>v</w:t>
      </w:r>
      <w:r w:rsidR="00061BC3">
        <w:t xml:space="preserve"> této </w:t>
      </w:r>
      <w:r w:rsidR="00061BC3" w:rsidRPr="007F17CB">
        <w:t>oblasti</w:t>
      </w:r>
      <w:r w:rsidR="00504DFB" w:rsidRPr="007F17CB">
        <w:t xml:space="preserve"> citliví</w:t>
      </w:r>
      <w:r w:rsidR="00504DFB">
        <w:t xml:space="preserve">, aby jejich </w:t>
      </w:r>
      <w:r w:rsidR="00061BC3">
        <w:t xml:space="preserve">přání a </w:t>
      </w:r>
      <w:r w:rsidR="00504DFB">
        <w:t>cíle respektovali a aby se</w:t>
      </w:r>
      <w:r w:rsidR="00061BC3">
        <w:t xml:space="preserve"> tak</w:t>
      </w:r>
      <w:r w:rsidR="00504DFB">
        <w:t xml:space="preserve"> </w:t>
      </w:r>
      <w:r w:rsidR="00061BC3">
        <w:t xml:space="preserve">lépe připravili </w:t>
      </w:r>
      <w:r w:rsidR="00255B13">
        <w:t xml:space="preserve">i </w:t>
      </w:r>
      <w:r w:rsidR="00504DFB">
        <w:t xml:space="preserve">na nově </w:t>
      </w:r>
      <w:r w:rsidR="00255B13">
        <w:t>zavedené</w:t>
      </w:r>
      <w:r w:rsidR="00504DFB">
        <w:t xml:space="preserve"> povinnosti </w:t>
      </w:r>
      <w:r w:rsidR="00255B13">
        <w:t xml:space="preserve">v rámci </w:t>
      </w:r>
      <w:r w:rsidR="00504DFB">
        <w:t>reform</w:t>
      </w:r>
      <w:r w:rsidR="00255B13">
        <w:t>y</w:t>
      </w:r>
      <w:r w:rsidR="00504DFB">
        <w:t xml:space="preserve"> </w:t>
      </w:r>
      <w:proofErr w:type="spellStart"/>
      <w:r w:rsidR="00504DFB">
        <w:t>MiFID</w:t>
      </w:r>
      <w:proofErr w:type="spellEnd"/>
      <w:r w:rsidR="00504DFB">
        <w:t xml:space="preserve"> II a IDD</w:t>
      </w:r>
      <w:r w:rsidR="00255B13">
        <w:t xml:space="preserve"> </w:t>
      </w:r>
      <w:r w:rsidR="00AD309C">
        <w:t xml:space="preserve">a zejména Směrnici EU č. </w:t>
      </w:r>
      <w:r w:rsidR="005334AE">
        <w:t>2021/1269</w:t>
      </w:r>
      <w:r w:rsidR="00D602BC" w:rsidRPr="00D602BC">
        <w:t xml:space="preserve"> o začlenění faktorů udržitelnosti do povinností při řízení </w:t>
      </w:r>
      <w:r w:rsidR="003D506B">
        <w:t xml:space="preserve">(investičních) </w:t>
      </w:r>
      <w:r w:rsidR="00D602BC" w:rsidRPr="00D602BC">
        <w:t>produktů</w:t>
      </w:r>
      <w:r w:rsidR="00504DFB">
        <w:t>.</w:t>
      </w:r>
    </w:p>
    <w:p w14:paraId="562CAC1D" w14:textId="77777777" w:rsidR="00D72F4C" w:rsidRDefault="00D72F4C" w:rsidP="00AB5B50">
      <w:pPr>
        <w:jc w:val="both"/>
      </w:pPr>
    </w:p>
    <w:p w14:paraId="0F3E9585" w14:textId="77777777" w:rsidR="000257F5" w:rsidRPr="00572DAC" w:rsidRDefault="000257F5" w:rsidP="000257F5">
      <w:pPr>
        <w:jc w:val="both"/>
        <w:rPr>
          <w:u w:val="single"/>
        </w:rPr>
      </w:pPr>
      <w:r w:rsidRPr="00572DAC">
        <w:rPr>
          <w:u w:val="single"/>
        </w:rPr>
        <w:t>Viditelnost projektu</w:t>
      </w:r>
    </w:p>
    <w:p w14:paraId="5DEEF068" w14:textId="77777777" w:rsidR="003D506B" w:rsidRDefault="003D506B" w:rsidP="000257F5">
      <w:pPr>
        <w:jc w:val="both"/>
      </w:pPr>
    </w:p>
    <w:p w14:paraId="6EFAD1A0" w14:textId="6F98F1E6" w:rsidR="000257F5" w:rsidRDefault="000257F5" w:rsidP="000257F5">
      <w:pPr>
        <w:jc w:val="both"/>
      </w:pPr>
      <w:r>
        <w:t xml:space="preserve">Logo Spotřebitelského fóra bylo uvedeno na webových stránkách SČS a informace o tom, že </w:t>
      </w:r>
      <w:r w:rsidR="002E5430">
        <w:t>tento projekt byl</w:t>
      </w:r>
      <w:r w:rsidR="00504292">
        <w:t xml:space="preserve"> realizován</w:t>
      </w:r>
      <w:r>
        <w:t xml:space="preserve"> </w:t>
      </w:r>
      <w:r w:rsidR="00B51496">
        <w:t>(</w:t>
      </w:r>
      <w:r w:rsidR="00363556">
        <w:t>vedle dalších partnerů</w:t>
      </w:r>
      <w:r w:rsidR="00B51496">
        <w:t>)</w:t>
      </w:r>
      <w:r w:rsidR="00363556">
        <w:t xml:space="preserve"> i </w:t>
      </w:r>
      <w:r>
        <w:t>s</w:t>
      </w:r>
      <w:r w:rsidR="00B51496">
        <w:t xml:space="preserve"> laskavou </w:t>
      </w:r>
      <w:r>
        <w:t xml:space="preserve">podporou </w:t>
      </w:r>
      <w:r w:rsidR="00661756">
        <w:t>Spotřebitelského fóra</w:t>
      </w:r>
      <w:r w:rsidR="007153D2">
        <w:t xml:space="preserve">, </w:t>
      </w:r>
      <w:r w:rsidR="00504292">
        <w:t>bude uveden</w:t>
      </w:r>
      <w:r w:rsidR="007C5332">
        <w:t>a</w:t>
      </w:r>
      <w:r w:rsidR="00504292">
        <w:t xml:space="preserve"> </w:t>
      </w:r>
      <w:r w:rsidR="00B51496">
        <w:t xml:space="preserve">jak </w:t>
      </w:r>
      <w:r w:rsidR="00B05E9D">
        <w:t>na pozván</w:t>
      </w:r>
      <w:r w:rsidR="00C1640D">
        <w:t>kách</w:t>
      </w:r>
      <w:r w:rsidR="00B51496">
        <w:t>, tak i</w:t>
      </w:r>
      <w:r w:rsidR="0085787C">
        <w:t xml:space="preserve"> </w:t>
      </w:r>
      <w:r w:rsidR="00B05E9D">
        <w:t>na</w:t>
      </w:r>
      <w:r w:rsidR="000C1DB2">
        <w:t xml:space="preserve"> </w:t>
      </w:r>
      <w:r w:rsidR="00871AD7">
        <w:t xml:space="preserve">všech odborných </w:t>
      </w:r>
      <w:r w:rsidR="00B51496">
        <w:t xml:space="preserve">seminářích a dalších </w:t>
      </w:r>
      <w:r w:rsidR="00871AD7">
        <w:t>akcích, které k tomuto tématu</w:t>
      </w:r>
      <w:r w:rsidR="00B51496" w:rsidRPr="00B51496">
        <w:t xml:space="preserve"> </w:t>
      </w:r>
      <w:r w:rsidR="00B51496">
        <w:t>SČS v letech 2022-2023 uspořádá</w:t>
      </w:r>
      <w:r w:rsidR="00241AEE">
        <w:t>.</w:t>
      </w:r>
    </w:p>
    <w:p w14:paraId="5D0F5DF4" w14:textId="77777777" w:rsidR="00C777F8" w:rsidRDefault="00C777F8" w:rsidP="006C1914">
      <w:pPr>
        <w:rPr>
          <w:rFonts w:cstheme="minorHAnsi"/>
          <w:u w:val="single"/>
        </w:rPr>
      </w:pPr>
    </w:p>
    <w:p w14:paraId="00A67CEB" w14:textId="51A5B4A1" w:rsidR="006C1914" w:rsidRDefault="006C1914" w:rsidP="006C1914">
      <w:pPr>
        <w:rPr>
          <w:rFonts w:cstheme="minorHAnsi"/>
          <w:u w:val="single"/>
        </w:rPr>
      </w:pPr>
      <w:r w:rsidRPr="008106D3">
        <w:rPr>
          <w:rFonts w:cstheme="minorHAnsi"/>
          <w:u w:val="single"/>
        </w:rPr>
        <w:t>Využití finančních prostředků</w:t>
      </w:r>
      <w:r>
        <w:rPr>
          <w:rFonts w:cstheme="minorHAnsi"/>
          <w:u w:val="single"/>
        </w:rPr>
        <w:t xml:space="preserve"> (grantu)</w:t>
      </w:r>
    </w:p>
    <w:p w14:paraId="0E12EC96" w14:textId="4C1FFCB2" w:rsidR="006C1914" w:rsidRDefault="006C1914" w:rsidP="006C1914">
      <w:pPr>
        <w:jc w:val="both"/>
        <w:rPr>
          <w:rFonts w:cstheme="minorHAnsi"/>
        </w:rPr>
      </w:pPr>
      <w:r>
        <w:rPr>
          <w:rFonts w:cstheme="minorHAnsi"/>
        </w:rPr>
        <w:t xml:space="preserve">Finanční prostředky </w:t>
      </w:r>
      <w:r w:rsidR="00CF6E46">
        <w:rPr>
          <w:rFonts w:cstheme="minorHAnsi"/>
        </w:rPr>
        <w:t xml:space="preserve">ve výši 30 tis. Kč </w:t>
      </w:r>
      <w:r>
        <w:rPr>
          <w:rFonts w:cstheme="minorHAnsi"/>
        </w:rPr>
        <w:t xml:space="preserve">byly využity na </w:t>
      </w:r>
      <w:r w:rsidR="001E76F7">
        <w:rPr>
          <w:rFonts w:cstheme="minorHAnsi"/>
        </w:rPr>
        <w:t xml:space="preserve">financování </w:t>
      </w:r>
      <w:r w:rsidR="001E76F7">
        <w:t>externích služeb</w:t>
      </w:r>
      <w:r>
        <w:t>.</w:t>
      </w:r>
    </w:p>
    <w:p w14:paraId="070AFD39" w14:textId="77777777" w:rsidR="006C1914" w:rsidRDefault="006C1914" w:rsidP="006C1914">
      <w:pPr>
        <w:rPr>
          <w:rFonts w:cstheme="minorHAnsi"/>
        </w:rPr>
      </w:pPr>
    </w:p>
    <w:p w14:paraId="4BA1260A" w14:textId="512B9726" w:rsidR="006C1914" w:rsidRDefault="006C1914" w:rsidP="006C1914">
      <w:pPr>
        <w:rPr>
          <w:rFonts w:cstheme="minorHAnsi"/>
        </w:rPr>
      </w:pPr>
      <w:r>
        <w:rPr>
          <w:rFonts w:cstheme="minorHAnsi"/>
        </w:rPr>
        <w:t xml:space="preserve">V Praze, dne </w:t>
      </w:r>
      <w:r w:rsidR="004357C9">
        <w:rPr>
          <w:rFonts w:cstheme="minorHAnsi"/>
        </w:rPr>
        <w:t>28</w:t>
      </w:r>
      <w:r>
        <w:rPr>
          <w:rFonts w:cstheme="minorHAnsi"/>
        </w:rPr>
        <w:t xml:space="preserve">. </w:t>
      </w:r>
      <w:r w:rsidR="004357C9">
        <w:rPr>
          <w:rFonts w:cstheme="minorHAnsi"/>
        </w:rPr>
        <w:t>listopadu</w:t>
      </w:r>
      <w:r>
        <w:rPr>
          <w:rFonts w:cstheme="minorHAnsi"/>
        </w:rPr>
        <w:t xml:space="preserve"> 202</w:t>
      </w:r>
      <w:r w:rsidR="00CF6E46">
        <w:rPr>
          <w:rFonts w:cstheme="minorHAnsi"/>
        </w:rPr>
        <w:t>2</w:t>
      </w:r>
    </w:p>
    <w:p w14:paraId="003D31B9" w14:textId="77777777" w:rsidR="006C1914" w:rsidRDefault="006C1914" w:rsidP="006C1914">
      <w:pPr>
        <w:rPr>
          <w:rFonts w:cstheme="minorHAnsi"/>
        </w:rPr>
      </w:pPr>
    </w:p>
    <w:p w14:paraId="46A934F6" w14:textId="77777777" w:rsidR="006C1914" w:rsidRDefault="006C1914" w:rsidP="006C1914">
      <w:pPr>
        <w:rPr>
          <w:rFonts w:cstheme="minorHAnsi"/>
        </w:rPr>
      </w:pPr>
      <w:r>
        <w:rPr>
          <w:rFonts w:cstheme="minorHAnsi"/>
        </w:rPr>
        <w:t>Mgr. Viktor Vodička</w:t>
      </w:r>
    </w:p>
    <w:p w14:paraId="6461A865" w14:textId="77777777" w:rsidR="006C1914" w:rsidRPr="00FB11A6" w:rsidRDefault="006C1914" w:rsidP="006C1914">
      <w:pPr>
        <w:rPr>
          <w:rFonts w:cstheme="minorHAnsi"/>
        </w:rPr>
      </w:pPr>
      <w:r>
        <w:rPr>
          <w:rFonts w:cstheme="minorHAnsi"/>
        </w:rPr>
        <w:t>ředitel</w:t>
      </w:r>
    </w:p>
    <w:p w14:paraId="7940857D" w14:textId="77777777" w:rsidR="006C1914" w:rsidRDefault="006C1914"/>
    <w:sectPr w:rsidR="006C191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94B6" w14:textId="77777777" w:rsidR="00D37A47" w:rsidRDefault="00D37A47">
      <w:pPr>
        <w:spacing w:after="0" w:line="240" w:lineRule="auto"/>
      </w:pPr>
      <w:r>
        <w:separator/>
      </w:r>
    </w:p>
  </w:endnote>
  <w:endnote w:type="continuationSeparator" w:id="0">
    <w:p w14:paraId="1F0C76D4" w14:textId="77777777" w:rsidR="00D37A47" w:rsidRDefault="00D3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58C2" w14:textId="32AFC341" w:rsidR="005853A4" w:rsidRDefault="005853A4">
    <w:pPr>
      <w:pStyle w:val="Zpa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26038" wp14:editId="569202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0FAD7E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42A4" w14:textId="77777777" w:rsidR="00D37A47" w:rsidRDefault="00D37A47">
      <w:pPr>
        <w:spacing w:after="0" w:line="240" w:lineRule="auto"/>
      </w:pPr>
      <w:r>
        <w:separator/>
      </w:r>
    </w:p>
  </w:footnote>
  <w:footnote w:type="continuationSeparator" w:id="0">
    <w:p w14:paraId="6FBDC820" w14:textId="77777777" w:rsidR="00D37A47" w:rsidRDefault="00D37A47">
      <w:pPr>
        <w:spacing w:after="0" w:line="240" w:lineRule="auto"/>
      </w:pPr>
      <w:r>
        <w:continuationSeparator/>
      </w:r>
    </w:p>
  </w:footnote>
  <w:footnote w:id="1">
    <w:p w14:paraId="2CB5DBB1" w14:textId="77777777" w:rsidR="00C80640" w:rsidRDefault="00C80640" w:rsidP="00C80640">
      <w:pPr>
        <w:pStyle w:val="Textpoznpodarou"/>
      </w:pPr>
      <w:r>
        <w:rPr>
          <w:rStyle w:val="Znakapoznpodarou"/>
          <w:lang w:val="cs"/>
        </w:rPr>
        <w:footnoteRef/>
      </w:r>
      <w:r>
        <w:rPr>
          <w:lang w:val="cs"/>
        </w:rPr>
        <w:t xml:space="preserve"> </w:t>
      </w:r>
      <w:hyperlink r:id="rId1" w:history="1">
        <w:r w:rsidRPr="008B1092">
          <w:rPr>
            <w:rStyle w:val="Hypertextovodkaz"/>
            <w:lang w:val="cs"/>
          </w:rPr>
          <w:t>https://www.conseq.cz/investice/prehled-fondu/nn-l-european-sustainable-equity-p-eur</w:t>
        </w:r>
      </w:hyperlink>
      <w:r>
        <w:rPr>
          <w:lang w:val="cs"/>
        </w:rPr>
        <w:t xml:space="preserve"> </w:t>
      </w:r>
    </w:p>
  </w:footnote>
  <w:footnote w:id="2">
    <w:p w14:paraId="18CDDDB3" w14:textId="77777777" w:rsidR="00CD150A" w:rsidRDefault="00CD150A" w:rsidP="00CD150A">
      <w:pPr>
        <w:pStyle w:val="Textpoznpodarou"/>
      </w:pPr>
      <w:r>
        <w:rPr>
          <w:rStyle w:val="Znakapoznpodarou"/>
          <w:lang w:val="cs"/>
        </w:rPr>
        <w:footnoteRef/>
      </w:r>
      <w:r>
        <w:rPr>
          <w:lang w:val="cs"/>
        </w:rPr>
        <w:t xml:space="preserve"> </w:t>
      </w:r>
      <w:hyperlink r:id="rId2" w:history="1">
        <w:r w:rsidRPr="008B1092">
          <w:rPr>
            <w:rStyle w:val="Hypertextovodkaz"/>
            <w:lang w:val="cs"/>
          </w:rPr>
          <w:t>https://www.conseq.cz/investice/prehled-fondu/ff-sustainable-water-waste-fund-eur</w:t>
        </w:r>
      </w:hyperlink>
      <w:r>
        <w:rPr>
          <w:lang w:val="c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098E" w14:textId="77777777" w:rsidR="009A1A96" w:rsidRDefault="008E743E">
    <w:pPr>
      <w:pStyle w:val="Zhlav"/>
    </w:pPr>
    <w:r>
      <w:rPr>
        <w:noProof/>
      </w:rPr>
      <w:drawing>
        <wp:inline distT="0" distB="0" distL="0" distR="0" wp14:anchorId="6F4C3A54" wp14:editId="5A668FD7">
          <wp:extent cx="1763486" cy="5810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05" cy="58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1D0F"/>
    <w:multiLevelType w:val="hybridMultilevel"/>
    <w:tmpl w:val="B8B8E7A2"/>
    <w:lvl w:ilvl="0" w:tplc="C0588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62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14"/>
    <w:rsid w:val="00006ACC"/>
    <w:rsid w:val="00007299"/>
    <w:rsid w:val="000257F5"/>
    <w:rsid w:val="00040A1D"/>
    <w:rsid w:val="00060C09"/>
    <w:rsid w:val="00061BC3"/>
    <w:rsid w:val="0006594E"/>
    <w:rsid w:val="000769A6"/>
    <w:rsid w:val="00082F45"/>
    <w:rsid w:val="000863F8"/>
    <w:rsid w:val="000A65FC"/>
    <w:rsid w:val="000A7DDB"/>
    <w:rsid w:val="000C111E"/>
    <w:rsid w:val="000C1DB2"/>
    <w:rsid w:val="00143D24"/>
    <w:rsid w:val="0017578C"/>
    <w:rsid w:val="001B10F5"/>
    <w:rsid w:val="001B6754"/>
    <w:rsid w:val="001C2ED7"/>
    <w:rsid w:val="001D3CA2"/>
    <w:rsid w:val="001E76F7"/>
    <w:rsid w:val="001F7330"/>
    <w:rsid w:val="00207E0E"/>
    <w:rsid w:val="00212156"/>
    <w:rsid w:val="00216DA0"/>
    <w:rsid w:val="00241AEE"/>
    <w:rsid w:val="00245A42"/>
    <w:rsid w:val="00255B13"/>
    <w:rsid w:val="00265FD0"/>
    <w:rsid w:val="002661DB"/>
    <w:rsid w:val="002724E5"/>
    <w:rsid w:val="002D6268"/>
    <w:rsid w:val="002E5430"/>
    <w:rsid w:val="002E5E01"/>
    <w:rsid w:val="002F701C"/>
    <w:rsid w:val="00320DD0"/>
    <w:rsid w:val="00324992"/>
    <w:rsid w:val="003404F3"/>
    <w:rsid w:val="00344B5E"/>
    <w:rsid w:val="00355C4E"/>
    <w:rsid w:val="003632E2"/>
    <w:rsid w:val="00363556"/>
    <w:rsid w:val="0038727B"/>
    <w:rsid w:val="003923CD"/>
    <w:rsid w:val="003B7210"/>
    <w:rsid w:val="003C3106"/>
    <w:rsid w:val="003C408B"/>
    <w:rsid w:val="003D1EDD"/>
    <w:rsid w:val="003D506B"/>
    <w:rsid w:val="00401374"/>
    <w:rsid w:val="00401A4C"/>
    <w:rsid w:val="00426004"/>
    <w:rsid w:val="004279AE"/>
    <w:rsid w:val="004357C9"/>
    <w:rsid w:val="00455042"/>
    <w:rsid w:val="00485866"/>
    <w:rsid w:val="00491F77"/>
    <w:rsid w:val="004A26BE"/>
    <w:rsid w:val="004C7955"/>
    <w:rsid w:val="004D4BC9"/>
    <w:rsid w:val="00504292"/>
    <w:rsid w:val="00504DFB"/>
    <w:rsid w:val="00522472"/>
    <w:rsid w:val="005334AE"/>
    <w:rsid w:val="00550F00"/>
    <w:rsid w:val="005853A4"/>
    <w:rsid w:val="005940CD"/>
    <w:rsid w:val="00597162"/>
    <w:rsid w:val="005A2A29"/>
    <w:rsid w:val="005A70C1"/>
    <w:rsid w:val="005B326D"/>
    <w:rsid w:val="005B383A"/>
    <w:rsid w:val="00615E64"/>
    <w:rsid w:val="006437B2"/>
    <w:rsid w:val="00643BE7"/>
    <w:rsid w:val="00661756"/>
    <w:rsid w:val="00661DB4"/>
    <w:rsid w:val="006906A3"/>
    <w:rsid w:val="00697278"/>
    <w:rsid w:val="006C1914"/>
    <w:rsid w:val="006C334B"/>
    <w:rsid w:val="006D4210"/>
    <w:rsid w:val="006E7E9B"/>
    <w:rsid w:val="006F2C72"/>
    <w:rsid w:val="00705402"/>
    <w:rsid w:val="00710240"/>
    <w:rsid w:val="00714227"/>
    <w:rsid w:val="007153D2"/>
    <w:rsid w:val="00722BAB"/>
    <w:rsid w:val="00733D7C"/>
    <w:rsid w:val="007353D3"/>
    <w:rsid w:val="00737CA1"/>
    <w:rsid w:val="0074686A"/>
    <w:rsid w:val="007510B0"/>
    <w:rsid w:val="007A1050"/>
    <w:rsid w:val="007A6398"/>
    <w:rsid w:val="007C5332"/>
    <w:rsid w:val="007C7D1E"/>
    <w:rsid w:val="007E454A"/>
    <w:rsid w:val="007F17BB"/>
    <w:rsid w:val="00832C8D"/>
    <w:rsid w:val="00834A4F"/>
    <w:rsid w:val="0085787C"/>
    <w:rsid w:val="008609BD"/>
    <w:rsid w:val="00861995"/>
    <w:rsid w:val="00865A83"/>
    <w:rsid w:val="00870CBB"/>
    <w:rsid w:val="00871AD7"/>
    <w:rsid w:val="00876A70"/>
    <w:rsid w:val="008948DA"/>
    <w:rsid w:val="008A03F0"/>
    <w:rsid w:val="008A374F"/>
    <w:rsid w:val="008A37A0"/>
    <w:rsid w:val="008B6338"/>
    <w:rsid w:val="008D4E9C"/>
    <w:rsid w:val="008E22E4"/>
    <w:rsid w:val="008E544F"/>
    <w:rsid w:val="008E743E"/>
    <w:rsid w:val="009035C8"/>
    <w:rsid w:val="00917CF6"/>
    <w:rsid w:val="00922298"/>
    <w:rsid w:val="0093485F"/>
    <w:rsid w:val="00934CB7"/>
    <w:rsid w:val="009905C7"/>
    <w:rsid w:val="00990701"/>
    <w:rsid w:val="00993C8C"/>
    <w:rsid w:val="009B0FE9"/>
    <w:rsid w:val="009C0E64"/>
    <w:rsid w:val="009F1BA1"/>
    <w:rsid w:val="009F5267"/>
    <w:rsid w:val="00A07AD3"/>
    <w:rsid w:val="00A10083"/>
    <w:rsid w:val="00A438C4"/>
    <w:rsid w:val="00A62193"/>
    <w:rsid w:val="00AA1EF1"/>
    <w:rsid w:val="00AB0B80"/>
    <w:rsid w:val="00AB5B50"/>
    <w:rsid w:val="00AD309C"/>
    <w:rsid w:val="00B017B3"/>
    <w:rsid w:val="00B05E9D"/>
    <w:rsid w:val="00B466AA"/>
    <w:rsid w:val="00B51496"/>
    <w:rsid w:val="00B64159"/>
    <w:rsid w:val="00B7179D"/>
    <w:rsid w:val="00B749B0"/>
    <w:rsid w:val="00B75022"/>
    <w:rsid w:val="00BA1A88"/>
    <w:rsid w:val="00BB1753"/>
    <w:rsid w:val="00BE66DE"/>
    <w:rsid w:val="00BF1377"/>
    <w:rsid w:val="00BF3249"/>
    <w:rsid w:val="00C1640D"/>
    <w:rsid w:val="00C24964"/>
    <w:rsid w:val="00C3135C"/>
    <w:rsid w:val="00C371D2"/>
    <w:rsid w:val="00C412F8"/>
    <w:rsid w:val="00C56D24"/>
    <w:rsid w:val="00C577FD"/>
    <w:rsid w:val="00C777F8"/>
    <w:rsid w:val="00C80640"/>
    <w:rsid w:val="00C81B17"/>
    <w:rsid w:val="00C84B12"/>
    <w:rsid w:val="00CA2247"/>
    <w:rsid w:val="00CC5806"/>
    <w:rsid w:val="00CD150A"/>
    <w:rsid w:val="00CD19D1"/>
    <w:rsid w:val="00CF6E46"/>
    <w:rsid w:val="00CF7F14"/>
    <w:rsid w:val="00D030D6"/>
    <w:rsid w:val="00D11316"/>
    <w:rsid w:val="00D12CDA"/>
    <w:rsid w:val="00D37A47"/>
    <w:rsid w:val="00D43C9C"/>
    <w:rsid w:val="00D602BC"/>
    <w:rsid w:val="00D61093"/>
    <w:rsid w:val="00D72F4C"/>
    <w:rsid w:val="00D82C71"/>
    <w:rsid w:val="00D9035E"/>
    <w:rsid w:val="00DC071D"/>
    <w:rsid w:val="00DC4F85"/>
    <w:rsid w:val="00DF1B12"/>
    <w:rsid w:val="00E051E7"/>
    <w:rsid w:val="00E548B6"/>
    <w:rsid w:val="00ED0589"/>
    <w:rsid w:val="00F117B0"/>
    <w:rsid w:val="00F17ED2"/>
    <w:rsid w:val="00F50BE2"/>
    <w:rsid w:val="00F575F3"/>
    <w:rsid w:val="00F64C7C"/>
    <w:rsid w:val="00F663A3"/>
    <w:rsid w:val="00F74B32"/>
    <w:rsid w:val="00FA0E9B"/>
    <w:rsid w:val="00FB7EBC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2761"/>
  <w15:chartTrackingRefBased/>
  <w15:docId w15:val="{D17A7785-8BF9-4A7B-A6ED-F72270C6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9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914"/>
  </w:style>
  <w:style w:type="table" w:styleId="Prosttabulka4">
    <w:name w:val="Plain Table 4"/>
    <w:basedOn w:val="Normlntabulka"/>
    <w:uiPriority w:val="44"/>
    <w:rsid w:val="006C19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mezer">
    <w:name w:val="No Spacing"/>
    <w:uiPriority w:val="1"/>
    <w:qFormat/>
    <w:rsid w:val="006C191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A0E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0E9B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52247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table" w:styleId="Mkatabulky">
    <w:name w:val="Table Grid"/>
    <w:basedOn w:val="Normlntabulka"/>
    <w:uiPriority w:val="39"/>
    <w:rsid w:val="0052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6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6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0640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F50BE2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58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eq.cz/investice/prehled-fondu/ff-sustainable-water-waste-fund-eur" TargetMode="External"/><Relationship Id="rId1" Type="http://schemas.openxmlformats.org/officeDocument/2006/relationships/hyperlink" Target="https://www.conseq.cz/investice/prehled-fondu/nn-l-european-sustainable-equity-p-eu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900"/>
              <a:t>Poradce se sám dotázal na zájem o udržitelnost a životní prostředí</a:t>
            </a:r>
            <a:r>
              <a:rPr lang="en-US" sz="900"/>
              <a:t>?</a:t>
            </a:r>
          </a:p>
        </c:rich>
      </c:tx>
      <c:layout>
        <c:manualLayout>
          <c:xMode val="edge"/>
          <c:yMode val="edge"/>
          <c:x val="0.20555669671725818"/>
          <c:y val="5.78315686491092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Advisors ask questions regarding interest in environmental issues?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76C-4332-A223-B3A7A04E8E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76C-4332-A223-B3A7A04E8E2E}"/>
              </c:ext>
            </c:extLst>
          </c:dPt>
          <c:dLbls>
            <c:dLbl>
              <c:idx val="0"/>
              <c:layout>
                <c:manualLayout>
                  <c:x val="0.20265367124530398"/>
                  <c:y val="0.12530120481927706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46841"/>
                        <a:gd name="adj2" fmla="val 22144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476C-4332-A223-B3A7A04E8E2E}"/>
                </c:ext>
              </c:extLst>
            </c:dLbl>
            <c:dLbl>
              <c:idx val="1"/>
              <c:layout>
                <c:manualLayout>
                  <c:x val="-0.16976874309049478"/>
                  <c:y val="-0.41445783132530123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76468"/>
                        <a:gd name="adj2" fmla="val 91650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476C-4332-A223-B3A7A04E8E2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6C-4332-A223-B3A7A04E8E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900"/>
              <a:t>Poradce nabídl produkt udržitelného financování?</a:t>
            </a:r>
            <a:endParaRPr lang="en-US" sz="900"/>
          </a:p>
        </c:rich>
      </c:tx>
      <c:layout>
        <c:manualLayout>
          <c:xMode val="edge"/>
          <c:yMode val="edge"/>
          <c:x val="0.10893809812235009"/>
          <c:y val="5.78313253012048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Advisors offered a sustainable product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DDD-4FB1-B2FD-B84F6CD861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DDD-4FB1-B2FD-B84F6CD861F3}"/>
              </c:ext>
            </c:extLst>
          </c:dPt>
          <c:dLbls>
            <c:dLbl>
              <c:idx val="0"/>
              <c:layout>
                <c:manualLayout>
                  <c:x val="0.22499923799847588"/>
                  <c:y val="0.13990374449686779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50881"/>
                        <a:gd name="adj2" fmla="val 10245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ADDD-4FB1-B2FD-B84F6CD861F3}"/>
                </c:ext>
              </c:extLst>
            </c:dLbl>
            <c:dLbl>
              <c:idx val="1"/>
              <c:layout>
                <c:manualLayout>
                  <c:x val="-0.19625908051816104"/>
                  <c:y val="-0.48183106370220757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207480"/>
                        <a:gd name="adj2" fmla="val 82726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ADDD-4FB1-B2FD-B84F6CD861F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DDD-4FB1-B2FD-B84F6CD861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900"/>
              <a:t>Poradce hovořil o nefinanční charakteristice daného produktu?</a:t>
            </a:r>
            <a:endParaRPr lang="en-US" sz="900"/>
          </a:p>
        </c:rich>
      </c:tx>
      <c:layout>
        <c:manualLayout>
          <c:xMode val="edge"/>
          <c:yMode val="edge"/>
          <c:x val="0.11606832568388843"/>
          <c:y val="4.98155365849809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Advisors spoke about the extra-financial characteristics of the products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C2C-4436-912E-D0ABE9F5E0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C2C-4436-912E-D0ABE9F5E07A}"/>
              </c:ext>
            </c:extLst>
          </c:dPt>
          <c:dLbls>
            <c:dLbl>
              <c:idx val="0"/>
              <c:layout>
                <c:manualLayout>
                  <c:x val="0.2686602944685389"/>
                  <c:y val="9.6482098054376395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02401"/>
                        <a:gd name="adj2" fmla="val 39991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4C2C-4436-912E-D0ABE9F5E07A}"/>
                </c:ext>
              </c:extLst>
            </c:dLbl>
            <c:dLbl>
              <c:idx val="1"/>
              <c:layout>
                <c:manualLayout>
                  <c:x val="-0.27004252810644658"/>
                  <c:y val="-0.34231360358512308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28118"/>
                        <a:gd name="adj2" fmla="val 85701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4C2C-4436-912E-D0ABE9F5E07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0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2C-4436-912E-D0ABE9F5E0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900" b="0" i="0" baseline="0">
                <a:effectLst/>
              </a:rPr>
              <a:t>Padlo </a:t>
            </a:r>
            <a:r>
              <a:rPr lang="cs-CZ" sz="900" b="0" i="0" u="none" strike="noStrike" baseline="0">
                <a:effectLst/>
              </a:rPr>
              <a:t>během interview </a:t>
            </a:r>
            <a:r>
              <a:rPr lang="cs-CZ" sz="900" b="0" i="0" baseline="0">
                <a:effectLst/>
              </a:rPr>
              <a:t>slovo "dopad"?</a:t>
            </a:r>
          </a:p>
        </c:rich>
      </c:tx>
      <c:layout>
        <c:manualLayout>
          <c:xMode val="edge"/>
          <c:yMode val="edge"/>
          <c:x val="0.11606832568388843"/>
          <c:y val="4.98155365849809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Advisors spoke about the extra-financial characteristics of the products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F36-46CD-B2AC-5E376EB1C7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F36-46CD-B2AC-5E376EB1C76D}"/>
              </c:ext>
            </c:extLst>
          </c:dPt>
          <c:dLbls>
            <c:dLbl>
              <c:idx val="0"/>
              <c:layout>
                <c:manualLayout>
                  <c:x val="0.2686602944685389"/>
                  <c:y val="9.6482098054376395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02401"/>
                        <a:gd name="adj2" fmla="val 39991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AF36-46CD-B2AC-5E376EB1C76D}"/>
                </c:ext>
              </c:extLst>
            </c:dLbl>
            <c:dLbl>
              <c:idx val="1"/>
              <c:layout>
                <c:manualLayout>
                  <c:x val="-0.27004252810644658"/>
                  <c:y val="-0.34231360358512308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28118"/>
                        <a:gd name="adj2" fmla="val 85701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AF36-46CD-B2AC-5E376EB1C76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0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36-46CD-B2AC-5E376EB1C7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900" b="0" i="0" baseline="0">
                <a:effectLst/>
              </a:rPr>
              <a:t>Byla podána informace o dodatečných nákladech dané investice?</a:t>
            </a:r>
          </a:p>
        </c:rich>
      </c:tx>
      <c:layout>
        <c:manualLayout>
          <c:xMode val="edge"/>
          <c:yMode val="edge"/>
          <c:x val="0.11606832568388843"/>
          <c:y val="4.98155365849809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Advisors spoke about the extra-financial characteristics of the products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84A-4E62-B1F1-1B0DE1CA08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84A-4E62-B1F1-1B0DE1CA0806}"/>
              </c:ext>
            </c:extLst>
          </c:dPt>
          <c:dLbls>
            <c:dLbl>
              <c:idx val="0"/>
              <c:layout>
                <c:manualLayout>
                  <c:x val="0.2686602944685389"/>
                  <c:y val="9.6482098054376395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02401"/>
                        <a:gd name="adj2" fmla="val 39991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484A-4E62-B1F1-1B0DE1CA0806}"/>
                </c:ext>
              </c:extLst>
            </c:dLbl>
            <c:dLbl>
              <c:idx val="1"/>
              <c:layout>
                <c:manualLayout>
                  <c:x val="-0.27004252810644658"/>
                  <c:y val="-0.34231360358512308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28118"/>
                        <a:gd name="adj2" fmla="val 85701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484A-4E62-B1F1-1B0DE1CA080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84A-4E62-B1F1-1B0DE1CA08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580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Vodička</dc:creator>
  <cp:keywords/>
  <dc:description/>
  <cp:lastModifiedBy>Viktor Vodička</cp:lastModifiedBy>
  <cp:revision>190</cp:revision>
  <dcterms:created xsi:type="dcterms:W3CDTF">2021-01-30T12:46:00Z</dcterms:created>
  <dcterms:modified xsi:type="dcterms:W3CDTF">2022-11-28T08:29:00Z</dcterms:modified>
</cp:coreProperties>
</file>