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A4D8" w14:textId="1874CF8E" w:rsidR="00465197" w:rsidRDefault="00465197" w:rsidP="004746B2">
      <w:pPr>
        <w:rPr>
          <w:b/>
          <w:bCs/>
        </w:rPr>
      </w:pPr>
      <w:r w:rsidRPr="00465197">
        <w:rPr>
          <w:b/>
          <w:bCs/>
        </w:rPr>
        <w:t>Jak vnímají Akt o digitálních trzích spotřebitelé v</w:t>
      </w:r>
      <w:r>
        <w:rPr>
          <w:b/>
          <w:bCs/>
        </w:rPr>
        <w:t xml:space="preserve"> 7 zemích </w:t>
      </w:r>
      <w:r w:rsidRPr="00465197">
        <w:rPr>
          <w:b/>
          <w:bCs/>
        </w:rPr>
        <w:t xml:space="preserve">střední a východní </w:t>
      </w:r>
      <w:r>
        <w:rPr>
          <w:b/>
          <w:bCs/>
        </w:rPr>
        <w:t xml:space="preserve">části </w:t>
      </w:r>
      <w:r w:rsidRPr="00465197">
        <w:rPr>
          <w:b/>
          <w:bCs/>
        </w:rPr>
        <w:t>EU</w:t>
      </w:r>
    </w:p>
    <w:p w14:paraId="64975D72" w14:textId="39B46C4B" w:rsidR="00465197" w:rsidRPr="00465197" w:rsidRDefault="00465197" w:rsidP="00E550E4">
      <w:pPr>
        <w:jc w:val="both"/>
        <w:rPr>
          <w:i/>
          <w:iCs/>
        </w:rPr>
      </w:pPr>
      <w:r w:rsidRPr="00465197">
        <w:rPr>
          <w:i/>
          <w:iCs/>
        </w:rPr>
        <w:t xml:space="preserve">Spotřebitelské fórum, </w:t>
      </w:r>
      <w:proofErr w:type="spellStart"/>
      <w:r w:rsidRPr="00465197">
        <w:rPr>
          <w:i/>
          <w:iCs/>
        </w:rPr>
        <w:t>z.ú</w:t>
      </w:r>
      <w:proofErr w:type="spellEnd"/>
      <w:r w:rsidRPr="00465197">
        <w:rPr>
          <w:i/>
          <w:iCs/>
        </w:rPr>
        <w:t>.</w:t>
      </w:r>
    </w:p>
    <w:p w14:paraId="47B17063" w14:textId="30FF2B56" w:rsidR="00435519" w:rsidRDefault="00435519" w:rsidP="00E550E4">
      <w:pPr>
        <w:jc w:val="both"/>
      </w:pPr>
      <w:r>
        <w:t>Dne 2. listopadu uplyn</w:t>
      </w:r>
      <w:r w:rsidR="002929AF">
        <w:t>u</w:t>
      </w:r>
      <w:r w:rsidR="00045A37">
        <w:t>l</w:t>
      </w:r>
      <w:r w:rsidR="002929AF">
        <w:t>o</w:t>
      </w:r>
      <w:r>
        <w:t xml:space="preserve"> dva a půl roku používání </w:t>
      </w:r>
      <w:hyperlink r:id="rId7" w:history="1">
        <w:r>
          <w:rPr>
            <w:rStyle w:val="Hypertextovodkaz"/>
          </w:rPr>
          <w:t>n</w:t>
        </w:r>
        <w:r w:rsidRPr="00435519">
          <w:rPr>
            <w:rStyle w:val="Hypertextovodkaz"/>
          </w:rPr>
          <w:t>ařízení</w:t>
        </w:r>
        <w:r>
          <w:rPr>
            <w:rStyle w:val="Hypertextovodkaz"/>
          </w:rPr>
          <w:t xml:space="preserve"> EU</w:t>
        </w:r>
        <w:r w:rsidRPr="00435519">
          <w:rPr>
            <w:rStyle w:val="Hypertextovodkaz"/>
          </w:rPr>
          <w:t xml:space="preserve"> o digitálních trzích</w:t>
        </w:r>
      </w:hyperlink>
      <w:r w:rsidRPr="00435519">
        <w:t xml:space="preserve"> (</w:t>
      </w:r>
      <w:r>
        <w:t xml:space="preserve">angl. </w:t>
      </w:r>
      <w:r w:rsidRPr="00435519">
        <w:rPr>
          <w:i/>
          <w:iCs/>
        </w:rPr>
        <w:t xml:space="preserve">Digital </w:t>
      </w:r>
      <w:proofErr w:type="spellStart"/>
      <w:r w:rsidRPr="00435519">
        <w:rPr>
          <w:i/>
          <w:iCs/>
        </w:rPr>
        <w:t>Markets</w:t>
      </w:r>
      <w:proofErr w:type="spellEnd"/>
      <w:r w:rsidRPr="00435519">
        <w:rPr>
          <w:i/>
          <w:iCs/>
        </w:rPr>
        <w:t xml:space="preserve"> </w:t>
      </w:r>
      <w:proofErr w:type="spellStart"/>
      <w:proofErr w:type="gramStart"/>
      <w:r w:rsidRPr="00435519">
        <w:rPr>
          <w:i/>
          <w:iCs/>
        </w:rPr>
        <w:t>Act</w:t>
      </w:r>
      <w:proofErr w:type="spellEnd"/>
      <w:r>
        <w:t xml:space="preserve"> - </w:t>
      </w:r>
      <w:r w:rsidRPr="00435519">
        <w:t>DMA</w:t>
      </w:r>
      <w:proofErr w:type="gramEnd"/>
      <w:r w:rsidRPr="00435519">
        <w:t>)</w:t>
      </w:r>
      <w:r>
        <w:t xml:space="preserve">. Tento akt byl </w:t>
      </w:r>
      <w:r w:rsidRPr="00435519">
        <w:t>představen jako přelomový právní předpis</w:t>
      </w:r>
      <w:r>
        <w:t xml:space="preserve">, </w:t>
      </w:r>
      <w:r w:rsidRPr="00435519">
        <w:t xml:space="preserve">který má změnit způsob, jakým spotřebitelé </w:t>
      </w:r>
      <w:r>
        <w:t xml:space="preserve">a podnikatelé </w:t>
      </w:r>
      <w:r w:rsidRPr="00435519">
        <w:t>interagují s</w:t>
      </w:r>
      <w:r>
        <w:t xml:space="preserve"> největšími </w:t>
      </w:r>
      <w:r w:rsidRPr="00435519">
        <w:t xml:space="preserve">online platformami. </w:t>
      </w:r>
      <w:r w:rsidR="003A12A6">
        <w:t>Nastavením předběžně používaných (</w:t>
      </w:r>
      <w:r w:rsidR="003A12A6" w:rsidRPr="003A12A6">
        <w:rPr>
          <w:i/>
          <w:iCs/>
        </w:rPr>
        <w:t>ex ante</w:t>
      </w:r>
      <w:r w:rsidR="003A12A6">
        <w:t xml:space="preserve">) pravidel soutěžního práva pro tyto </w:t>
      </w:r>
      <w:r w:rsidRPr="00435519">
        <w:t>tzv</w:t>
      </w:r>
      <w:r>
        <w:t xml:space="preserve">. </w:t>
      </w:r>
      <w:r w:rsidR="00045A37">
        <w:t xml:space="preserve">digitální </w:t>
      </w:r>
      <w:r w:rsidRPr="00435519">
        <w:t>strážc</w:t>
      </w:r>
      <w:r w:rsidR="003A12A6">
        <w:t>e</w:t>
      </w:r>
      <w:r w:rsidRPr="00435519">
        <w:t xml:space="preserve"> brány</w:t>
      </w:r>
      <w:r>
        <w:t xml:space="preserve"> </w:t>
      </w:r>
      <w:r w:rsidRPr="00435519">
        <w:t xml:space="preserve">se </w:t>
      </w:r>
      <w:r>
        <w:t>EU</w:t>
      </w:r>
      <w:r w:rsidRPr="00435519">
        <w:t xml:space="preserve"> snaž</w:t>
      </w:r>
      <w:r>
        <w:t xml:space="preserve">í </w:t>
      </w:r>
      <w:r w:rsidRPr="00435519">
        <w:t xml:space="preserve">podpořit </w:t>
      </w:r>
      <w:r w:rsidR="00045A37">
        <w:t xml:space="preserve">v </w:t>
      </w:r>
      <w:r>
        <w:t xml:space="preserve">online prostředí </w:t>
      </w:r>
      <w:r w:rsidR="00D9258A">
        <w:t>větší</w:t>
      </w:r>
      <w:r w:rsidRPr="00435519">
        <w:t xml:space="preserve"> konkurenci, zlepšit ochranu soukromí a učinit digitální služby dostupnějšími</w:t>
      </w:r>
      <w:r w:rsidR="00D9258A">
        <w:t xml:space="preserve"> pro uživatele z řad spotřebitelů i podnikatelů.</w:t>
      </w:r>
    </w:p>
    <w:p w14:paraId="20048D59" w14:textId="4F3641B0" w:rsidR="00435519" w:rsidRDefault="003A12A6" w:rsidP="00E550E4">
      <w:pPr>
        <w:jc w:val="both"/>
      </w:pPr>
      <w:r>
        <w:t xml:space="preserve">Součástí moderního přístupu </w:t>
      </w:r>
      <w:r w:rsidR="00045A37">
        <w:t xml:space="preserve">k regulaci, v rámci </w:t>
      </w:r>
      <w:r>
        <w:t xml:space="preserve">tzv. </w:t>
      </w:r>
      <w:proofErr w:type="spellStart"/>
      <w:r>
        <w:t>better</w:t>
      </w:r>
      <w:proofErr w:type="spellEnd"/>
      <w:r w:rsidR="00045A37">
        <w:t xml:space="preserve"> </w:t>
      </w:r>
      <w:proofErr w:type="spellStart"/>
      <w:r>
        <w:t>regulation</w:t>
      </w:r>
      <w:proofErr w:type="spellEnd"/>
      <w:r w:rsidR="00045A37">
        <w:t>,</w:t>
      </w:r>
      <w:r>
        <w:t xml:space="preserve"> se stále častěji stává také požadavek na brzké vyhodnocení toho, jak nově zavedená pravidla skutečně ovlivnila praxi a zda například nedošlo k původně nezamýšleným vedlejším účinkům. Například v Nizozemsku, kde jsou zásady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hluboce propracovány, se důkladný test </w:t>
      </w:r>
      <w:r w:rsidRPr="008C341E">
        <w:t xml:space="preserve">ověření </w:t>
      </w:r>
      <w:r>
        <w:t xml:space="preserve">reálného </w:t>
      </w:r>
      <w:r w:rsidRPr="008C341E">
        <w:t xml:space="preserve">fungování </w:t>
      </w:r>
      <w:r>
        <w:t xml:space="preserve">nově zavedených </w:t>
      </w:r>
      <w:r w:rsidRPr="008C341E">
        <w:t>právních předpisů v</w:t>
      </w:r>
      <w:r>
        <w:t> </w:t>
      </w:r>
      <w:r w:rsidRPr="008C341E">
        <w:t>praxi</w:t>
      </w:r>
      <w:r>
        <w:t xml:space="preserve"> (tzv. nástroj </w:t>
      </w:r>
      <w:proofErr w:type="spellStart"/>
      <w:r w:rsidRPr="003A12A6">
        <w:rPr>
          <w:i/>
          <w:iCs/>
        </w:rPr>
        <w:t>Invoeringstoets</w:t>
      </w:r>
      <w:proofErr w:type="spellEnd"/>
      <w:r>
        <w:t xml:space="preserve">) vyžaduje </w:t>
      </w:r>
      <w:r w:rsidR="00045A37">
        <w:t xml:space="preserve">již </w:t>
      </w:r>
      <w:r>
        <w:t xml:space="preserve">mezi prvním a třetím rokem od právních účinků nové regulace. </w:t>
      </w:r>
      <w:r w:rsidR="00D9258A">
        <w:t>V samotném nařízení DMA předpokládá</w:t>
      </w:r>
      <w:r>
        <w:t xml:space="preserve"> EU </w:t>
      </w:r>
      <w:r w:rsidR="00D9258A">
        <w:t>posouzení míry dosažení jeho cílů vždy po třech letech jeho fungování. Výsledky tohoto posouzení by tak Evropská komise měla předložit ostatním institucím EU a veřejnosti v druhé polovině roku 2026.</w:t>
      </w:r>
    </w:p>
    <w:p w14:paraId="065267C5" w14:textId="77777777" w:rsidR="00045A37" w:rsidRDefault="00150018" w:rsidP="00E550E4">
      <w:pPr>
        <w:jc w:val="both"/>
      </w:pPr>
      <w:r>
        <w:t xml:space="preserve">S prvním kompletnějším zhodnocením účinků nařízení DMA na online prostředí a uživatele digitálních služeb ve střední a východní Evropě přichází již nyní </w:t>
      </w:r>
      <w:proofErr w:type="spellStart"/>
      <w:r w:rsidR="00465197">
        <w:t>think</w:t>
      </w:r>
      <w:proofErr w:type="spellEnd"/>
      <w:r w:rsidR="00465197">
        <w:t xml:space="preserve">-tanky </w:t>
      </w:r>
      <w:r w:rsidRPr="00435519">
        <w:t>Evropské centr</w:t>
      </w:r>
      <w:r>
        <w:t>um</w:t>
      </w:r>
      <w:r w:rsidRPr="00435519">
        <w:t xml:space="preserve"> pro mezinárodní politickou ekonomii (</w:t>
      </w:r>
      <w:hyperlink r:id="rId8" w:history="1">
        <w:r w:rsidRPr="00465197">
          <w:rPr>
            <w:rStyle w:val="Hypertextovodkaz"/>
          </w:rPr>
          <w:t>ECIPE</w:t>
        </w:r>
      </w:hyperlink>
      <w:r w:rsidRPr="00435519">
        <w:t>)</w:t>
      </w:r>
      <w:r w:rsidR="00465197">
        <w:t xml:space="preserve"> a </w:t>
      </w:r>
      <w:r w:rsidRPr="00435519">
        <w:t>Evropské partnerství pro veřejnou politiku (</w:t>
      </w:r>
      <w:hyperlink r:id="rId9" w:history="1">
        <w:r w:rsidRPr="00465197">
          <w:rPr>
            <w:rStyle w:val="Hypertextovodkaz"/>
          </w:rPr>
          <w:t>EPPP</w:t>
        </w:r>
      </w:hyperlink>
      <w:r w:rsidRPr="00435519">
        <w:t>)</w:t>
      </w:r>
      <w:r w:rsidR="00465197">
        <w:t xml:space="preserve"> na základě dotazování </w:t>
      </w:r>
      <w:r w:rsidR="00465197" w:rsidRPr="00435519">
        <w:t>3</w:t>
      </w:r>
      <w:r w:rsidR="00465197">
        <w:t>.</w:t>
      </w:r>
      <w:r w:rsidR="00465197" w:rsidRPr="00435519">
        <w:t>500 spotřebitelů</w:t>
      </w:r>
      <w:r w:rsidR="00465197">
        <w:t xml:space="preserve"> </w:t>
      </w:r>
      <w:r w:rsidR="00465197" w:rsidRPr="00435519">
        <w:t xml:space="preserve">na Slovensku, v Česku, Maďarsku, Slovinsku, Chorvatsku, Lotyšsku a </w:t>
      </w:r>
      <w:r w:rsidR="00465197">
        <w:t>Litvě</w:t>
      </w:r>
      <w:r w:rsidR="00465197" w:rsidRPr="00435519">
        <w:t>.</w:t>
      </w:r>
      <w:r w:rsidR="00465197">
        <w:t xml:space="preserve"> </w:t>
      </w:r>
      <w:r w:rsidR="00251497">
        <w:t xml:space="preserve">V každé zemi byl dotazován stejný počet respondentů, tedy 500. </w:t>
      </w:r>
    </w:p>
    <w:p w14:paraId="084B63EB" w14:textId="758143D2" w:rsidR="00465197" w:rsidRDefault="00045A37" w:rsidP="00E550E4">
      <w:pPr>
        <w:jc w:val="both"/>
      </w:pPr>
      <w:r>
        <w:t xml:space="preserve">Zhodnocení přináší studie v anglickém jazyce pod názvem </w:t>
      </w:r>
      <w:r w:rsidRPr="00045A37">
        <w:t>„</w:t>
      </w:r>
      <w:proofErr w:type="spellStart"/>
      <w:r>
        <w:fldChar w:fldCharType="begin"/>
      </w:r>
      <w:r>
        <w:instrText>HYPERLINK "https://ecipe.org/publications/consumer-response-to-the-digital-markets-act/"</w:instrText>
      </w:r>
      <w:r>
        <w:fldChar w:fldCharType="separate"/>
      </w:r>
      <w:r w:rsidRPr="00045A37">
        <w:rPr>
          <w:rStyle w:val="Hypertextovodkaz"/>
        </w:rPr>
        <w:t>What</w:t>
      </w:r>
      <w:proofErr w:type="spellEnd"/>
      <w:r w:rsidRPr="00045A37">
        <w:rPr>
          <w:rStyle w:val="Hypertextovodkaz"/>
        </w:rPr>
        <w:t xml:space="preserve"> </w:t>
      </w:r>
      <w:proofErr w:type="spellStart"/>
      <w:r w:rsidRPr="00045A37">
        <w:rPr>
          <w:rStyle w:val="Hypertextovodkaz"/>
        </w:rPr>
        <w:t>About</w:t>
      </w:r>
      <w:proofErr w:type="spellEnd"/>
      <w:r w:rsidRPr="00045A37">
        <w:rPr>
          <w:rStyle w:val="Hypertextovodkaz"/>
        </w:rPr>
        <w:t xml:space="preserve"> </w:t>
      </w:r>
      <w:proofErr w:type="spellStart"/>
      <w:r w:rsidRPr="00045A37">
        <w:rPr>
          <w:rStyle w:val="Hypertextovodkaz"/>
        </w:rPr>
        <w:t>Us</w:t>
      </w:r>
      <w:proofErr w:type="spellEnd"/>
      <w:r w:rsidRPr="00045A37">
        <w:rPr>
          <w:rStyle w:val="Hypertextovodkaz"/>
        </w:rPr>
        <w:t xml:space="preserve">? </w:t>
      </w:r>
      <w:proofErr w:type="spellStart"/>
      <w:r w:rsidRPr="00045A37">
        <w:rPr>
          <w:rStyle w:val="Hypertextovodkaz"/>
        </w:rPr>
        <w:t>Consumer</w:t>
      </w:r>
      <w:proofErr w:type="spellEnd"/>
      <w:r w:rsidRPr="00045A37">
        <w:rPr>
          <w:rStyle w:val="Hypertextovodkaz"/>
        </w:rPr>
        <w:t xml:space="preserve"> Response to </w:t>
      </w:r>
      <w:proofErr w:type="spellStart"/>
      <w:r w:rsidRPr="00045A37">
        <w:rPr>
          <w:rStyle w:val="Hypertextovodkaz"/>
        </w:rPr>
        <w:t>the</w:t>
      </w:r>
      <w:proofErr w:type="spellEnd"/>
      <w:r w:rsidRPr="00045A37">
        <w:rPr>
          <w:rStyle w:val="Hypertextovodkaz"/>
        </w:rPr>
        <w:t xml:space="preserve"> Digital </w:t>
      </w:r>
      <w:proofErr w:type="spellStart"/>
      <w:r w:rsidRPr="00045A37">
        <w:rPr>
          <w:rStyle w:val="Hypertextovodkaz"/>
        </w:rPr>
        <w:t>Markets</w:t>
      </w:r>
      <w:proofErr w:type="spellEnd"/>
      <w:r w:rsidRPr="00045A37">
        <w:rPr>
          <w:rStyle w:val="Hypertextovodkaz"/>
        </w:rPr>
        <w:t xml:space="preserve"> </w:t>
      </w:r>
      <w:proofErr w:type="spellStart"/>
      <w:r w:rsidRPr="00045A37">
        <w:rPr>
          <w:rStyle w:val="Hypertextovodkaz"/>
        </w:rPr>
        <w:t>Act</w:t>
      </w:r>
      <w:proofErr w:type="spellEnd"/>
      <w:r>
        <w:fldChar w:fldCharType="end"/>
      </w:r>
      <w:r w:rsidRPr="00045A37">
        <w:t>“.</w:t>
      </w:r>
      <w:r>
        <w:t xml:space="preserve"> </w:t>
      </w:r>
      <w:r w:rsidR="00465197">
        <w:t xml:space="preserve">Partnerem tohoto </w:t>
      </w:r>
      <w:r w:rsidR="00AB7018" w:rsidRPr="00045A37">
        <w:t xml:space="preserve">nového </w:t>
      </w:r>
      <w:r w:rsidR="00465197" w:rsidRPr="00045A37">
        <w:t>výzkumu</w:t>
      </w:r>
      <w:r w:rsidR="00465197">
        <w:t xml:space="preserve"> pro Českou republiku je zapsaný ústav Spotřebitelské fórum, které </w:t>
      </w:r>
      <w:r>
        <w:t>níže</w:t>
      </w:r>
      <w:r w:rsidR="00465197">
        <w:t xml:space="preserve"> shrnuje poznatky </w:t>
      </w:r>
      <w:r w:rsidR="00AB7018">
        <w:t xml:space="preserve">studie platné pro </w:t>
      </w:r>
      <w:r w:rsidR="002929AF">
        <w:t>ČR</w:t>
      </w:r>
      <w:r w:rsidR="00AB7018">
        <w:t>.</w:t>
      </w:r>
      <w:r w:rsidR="00465197">
        <w:t xml:space="preserve"> </w:t>
      </w:r>
    </w:p>
    <w:p w14:paraId="1F544D9F" w14:textId="422BD595" w:rsidR="00465197" w:rsidRPr="005E3BC9" w:rsidRDefault="005E3BC9" w:rsidP="00E550E4">
      <w:pPr>
        <w:jc w:val="both"/>
        <w:rPr>
          <w:b/>
          <w:bCs/>
          <w:i/>
          <w:iCs/>
        </w:rPr>
      </w:pPr>
      <w:r w:rsidRPr="005E3BC9">
        <w:rPr>
          <w:b/>
          <w:bCs/>
          <w:i/>
          <w:iCs/>
        </w:rPr>
        <w:t>Obecné výsledky platí i pro Českou republiku</w:t>
      </w:r>
    </w:p>
    <w:p w14:paraId="0DC1E440" w14:textId="409EB080" w:rsidR="00435519" w:rsidRPr="00435519" w:rsidRDefault="005E3BC9" w:rsidP="00E550E4">
      <w:pPr>
        <w:jc w:val="both"/>
      </w:pPr>
      <w:r>
        <w:t>Pro ČR, stejně jako pro ostatní sledované země, z nové studie vyplývá, že s</w:t>
      </w:r>
      <w:r w:rsidR="00435519" w:rsidRPr="00435519">
        <w:t>potřebitelé</w:t>
      </w:r>
      <w:r>
        <w:t xml:space="preserve"> prozatím</w:t>
      </w:r>
      <w:r w:rsidR="00435519" w:rsidRPr="00435519">
        <w:t xml:space="preserve"> zaznamenali jen málo důkazů o levnějších nebo lepších digitálních službách. Mnoho </w:t>
      </w:r>
      <w:r w:rsidR="00536BC1">
        <w:t>respondentů</w:t>
      </w:r>
      <w:r w:rsidR="00435519" w:rsidRPr="00435519">
        <w:t xml:space="preserve"> </w:t>
      </w:r>
      <w:r w:rsidR="00536BC1">
        <w:t xml:space="preserve">naopak </w:t>
      </w:r>
      <w:r w:rsidR="00435519" w:rsidRPr="00435519">
        <w:t>hlás</w:t>
      </w:r>
      <w:r w:rsidR="00536BC1">
        <w:t>ilo</w:t>
      </w:r>
      <w:r w:rsidR="00D9258A">
        <w:t xml:space="preserve"> </w:t>
      </w:r>
      <w:r>
        <w:t>problematičtější uživatelský zážitek při využívání online služeb,</w:t>
      </w:r>
      <w:r w:rsidR="00435519" w:rsidRPr="00435519">
        <w:t xml:space="preserve"> zatímco důvěra v</w:t>
      </w:r>
      <w:r>
        <w:t xml:space="preserve"> zajištění </w:t>
      </w:r>
      <w:r w:rsidR="00435519" w:rsidRPr="00435519">
        <w:t xml:space="preserve">soukromí </w:t>
      </w:r>
      <w:r>
        <w:t xml:space="preserve">na </w:t>
      </w:r>
      <w:r w:rsidR="00435519" w:rsidRPr="00435519">
        <w:t>platform</w:t>
      </w:r>
      <w:r>
        <w:t>ách</w:t>
      </w:r>
      <w:r w:rsidR="00435519" w:rsidRPr="00435519">
        <w:t xml:space="preserve"> zůstává nízká.</w:t>
      </w:r>
    </w:p>
    <w:p w14:paraId="625E1249" w14:textId="2FE9FF59" w:rsidR="00435519" w:rsidRDefault="00435519" w:rsidP="00E550E4">
      <w:pPr>
        <w:jc w:val="both"/>
      </w:pPr>
      <w:r w:rsidRPr="00435519">
        <w:t xml:space="preserve">Nejpozoruhodnější je, že samotné chování spotřebitelů se téměř nezměnilo: stále převládá spoléhání se na </w:t>
      </w:r>
      <w:r w:rsidR="002929AF">
        <w:t>úzkou skupinu</w:t>
      </w:r>
      <w:r w:rsidRPr="00435519">
        <w:t xml:space="preserve"> dominantních hráčů, jako jsou Google, Meta a Apple. </w:t>
      </w:r>
      <w:r w:rsidR="00536BC1">
        <w:t>Ve výsledcích dotazování, které sledovalo využití digitálních služeb globálních firem ze strany uživatelů, ČR</w:t>
      </w:r>
      <w:r w:rsidR="0052019C">
        <w:t xml:space="preserve"> přitom</w:t>
      </w:r>
      <w:r w:rsidR="00536BC1">
        <w:t xml:space="preserve"> většinou figuruje mezi zkoumanými zeměmi jako země, kde je využití globálních značek o něco nižší</w:t>
      </w:r>
      <w:r w:rsidR="002929AF">
        <w:t>.</w:t>
      </w:r>
      <w:r w:rsidR="00536BC1">
        <w:t xml:space="preserve"> </w:t>
      </w:r>
    </w:p>
    <w:p w14:paraId="390E5B83" w14:textId="4DC1828D" w:rsidR="00A805DF" w:rsidRDefault="00A805DF" w:rsidP="00E550E4">
      <w:pPr>
        <w:jc w:val="both"/>
      </w:pPr>
      <w:r>
        <w:t>Uživatelé v ČR tak například na dotaz, kolik využívají alternativních platforem ke službám Google, jen v 30 % případů uvádí, že žádnou. To je nejméně ze všech sedmi sledovaných zemí. Nejblíže k nám je v tomto ohledu Slovensko, kde tuto odpověď volilo 43 % respondentů. Naopak u ostatních sledovaných zemí převládá spoléhání se na aplikace od Google u poloviny populace či více. V případě Chorvatska je to dokonce 60 %, což je dvojnásobný podíl oproti ČR.</w:t>
      </w:r>
      <w:r>
        <w:rPr>
          <w:noProof/>
        </w:rPr>
        <w:drawing>
          <wp:inline distT="0" distB="0" distL="0" distR="0" wp14:anchorId="2D2F4033" wp14:editId="495BF0E3">
            <wp:extent cx="5760720" cy="3315335"/>
            <wp:effectExtent l="0" t="0" r="0" b="0"/>
            <wp:docPr id="4758548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C810" w14:textId="0592A376" w:rsidR="00CE7133" w:rsidRDefault="00C02498" w:rsidP="00E550E4">
      <w:pPr>
        <w:jc w:val="both"/>
      </w:pPr>
      <w:r>
        <w:t xml:space="preserve">Využívání alternativ v ČR ke globálním digitálním službám se projevuje i u dalších platforem, byť například u užívání alternativ k Instagramu jsou rozdíly </w:t>
      </w:r>
      <w:r w:rsidR="0052019C">
        <w:t xml:space="preserve">výrazně méně </w:t>
      </w:r>
      <w:r>
        <w:t xml:space="preserve">patrné. </w:t>
      </w:r>
      <w:r>
        <w:rPr>
          <w:noProof/>
        </w:rPr>
        <w:drawing>
          <wp:inline distT="0" distB="0" distL="0" distR="0" wp14:anchorId="57980623" wp14:editId="763AEDCB">
            <wp:extent cx="5760720" cy="3147695"/>
            <wp:effectExtent l="0" t="0" r="0" b="0"/>
            <wp:docPr id="12452069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02C8" w14:textId="41FE2D75" w:rsidR="00CE7133" w:rsidRDefault="00607E21" w:rsidP="00E550E4">
      <w:pPr>
        <w:jc w:val="both"/>
      </w:pPr>
      <w:r>
        <w:t>ČR by tak mohla být při prvoplánovém čtení statistik</w:t>
      </w:r>
      <w:r w:rsidR="0052019C">
        <w:t xml:space="preserve"> </w:t>
      </w:r>
      <w:r>
        <w:t xml:space="preserve">brána za výkladní skříň </w:t>
      </w:r>
      <w:r w:rsidR="0052019C">
        <w:t xml:space="preserve">fungování </w:t>
      </w:r>
      <w:r>
        <w:t xml:space="preserve">regulace DMA. Blíže pravdě však pravděpodobně je, že v ČR již dlouho před regulací DMA našly své uplatnění u uživatelů digitální služby jako vyhledávání, mapy nebo bezplatný email od Seznamu. Výsledek ČR je tak ovlivněn faktory jako je uživatelská věrnost a dlouhodobá customizace uživatelských účtů ve vztahu k osvědčeným digitálním </w:t>
      </w:r>
      <w:proofErr w:type="gramStart"/>
      <w:r>
        <w:t>službám,</w:t>
      </w:r>
      <w:proofErr w:type="gramEnd"/>
      <w:r>
        <w:t xml:space="preserve"> než </w:t>
      </w:r>
      <w:r w:rsidR="002929AF">
        <w:t>n</w:t>
      </w:r>
      <w:r>
        <w:t>ařízení</w:t>
      </w:r>
      <w:r w:rsidR="002929AF">
        <w:t>m</w:t>
      </w:r>
      <w:r>
        <w:t xml:space="preserve"> o povinném otevření velkých digitálních platforem konkurenci. Je totiž těžké si představit faktory, které by vysvětlovaly, proč by nařízení DMA mělo být o tolik efektivnější v </w:t>
      </w:r>
      <w:proofErr w:type="gramStart"/>
      <w:r>
        <w:t>ČR,</w:t>
      </w:r>
      <w:proofErr w:type="gramEnd"/>
      <w:r>
        <w:t xml:space="preserve"> než například v Chorvatsku.</w:t>
      </w:r>
    </w:p>
    <w:p w14:paraId="798B7BDD" w14:textId="306102A6" w:rsidR="00FD757B" w:rsidRDefault="0052019C" w:rsidP="00E550E4">
      <w:pPr>
        <w:jc w:val="both"/>
      </w:pPr>
      <w:r>
        <w:t>Citovaná studie dochází k závěrům, že s</w:t>
      </w:r>
      <w:r w:rsidR="00CE7133" w:rsidRPr="00CE7133">
        <w:t xml:space="preserve">libované přínosy </w:t>
      </w:r>
      <w:r w:rsidR="00CE7133">
        <w:t xml:space="preserve">nařízení </w:t>
      </w:r>
      <w:r>
        <w:t xml:space="preserve">DMA </w:t>
      </w:r>
      <w:r w:rsidR="00CE7133">
        <w:t xml:space="preserve">v posílení dostupnosti online služeb </w:t>
      </w:r>
      <w:r w:rsidR="00CE7133" w:rsidRPr="00CE7133">
        <w:t xml:space="preserve">se </w:t>
      </w:r>
      <w:r w:rsidR="00CE7133">
        <w:t xml:space="preserve">dosud </w:t>
      </w:r>
      <w:r w:rsidR="00CE7133" w:rsidRPr="00CE7133">
        <w:t>nenaplnily</w:t>
      </w:r>
      <w:r w:rsidR="00CE7133">
        <w:t>. N</w:t>
      </w:r>
      <w:r w:rsidR="00CE7133" w:rsidRPr="00CE7133">
        <w:t xml:space="preserve">ěkterá opatření </w:t>
      </w:r>
      <w:r w:rsidR="00CE7133">
        <w:t xml:space="preserve">přitom </w:t>
      </w:r>
      <w:r>
        <w:t xml:space="preserve">naopak </w:t>
      </w:r>
      <w:r w:rsidR="00CE7133">
        <w:t xml:space="preserve">měla na online prostředí negativní účinky, když </w:t>
      </w:r>
      <w:r w:rsidR="00CE7133" w:rsidRPr="00CE7133">
        <w:t xml:space="preserve">učinila </w:t>
      </w:r>
      <w:r w:rsidR="00CE7133">
        <w:t xml:space="preserve">digitální </w:t>
      </w:r>
      <w:r w:rsidR="00CE7133" w:rsidRPr="00CE7133">
        <w:t>služby</w:t>
      </w:r>
      <w:r w:rsidR="00CE7133">
        <w:t xml:space="preserve"> </w:t>
      </w:r>
      <w:r>
        <w:t xml:space="preserve">globálních značek </w:t>
      </w:r>
      <w:r w:rsidR="00CE7133">
        <w:t>pro uživatele</w:t>
      </w:r>
      <w:r w:rsidR="00CE7133" w:rsidRPr="00CE7133">
        <w:t xml:space="preserve"> těžkopádnějšími nebo méně uživatelsky přívětivými. </w:t>
      </w:r>
      <w:r w:rsidR="00B171D9">
        <w:t>Nedošlo také k plošnému posílení soukromí</w:t>
      </w:r>
      <w:r>
        <w:t>. N</w:t>
      </w:r>
      <w:r w:rsidR="00B171D9">
        <w:t>ařízením</w:t>
      </w:r>
      <w:r>
        <w:t xml:space="preserve"> DMA</w:t>
      </w:r>
      <w:r w:rsidR="00B171D9">
        <w:t xml:space="preserve"> vyžadovaná verze digitálních služeb s garancí soukromí uživatelů začala být </w:t>
      </w:r>
      <w:r w:rsidR="002929AF">
        <w:t xml:space="preserve">v některých případech </w:t>
      </w:r>
      <w:r w:rsidR="00B171D9">
        <w:t>nabízena coby zpoplatněná, čehož ovšem drtiv</w:t>
      </w:r>
      <w:r>
        <w:t>á</w:t>
      </w:r>
      <w:r w:rsidR="00B171D9">
        <w:t xml:space="preserve"> většina spotřebitelů ve sledovaných zemích nevyužívá</w:t>
      </w:r>
      <w:r>
        <w:t>.</w:t>
      </w:r>
      <w:r w:rsidR="00B171D9">
        <w:t xml:space="preserve"> </w:t>
      </w:r>
      <w:r>
        <w:t>S</w:t>
      </w:r>
      <w:r w:rsidR="00B171D9">
        <w:t xml:space="preserve">potřebitelé </w:t>
      </w:r>
      <w:r>
        <w:t xml:space="preserve">proto </w:t>
      </w:r>
      <w:r w:rsidR="00B171D9">
        <w:t>v</w:t>
      </w:r>
      <w:r w:rsidR="002929AF">
        <w:t> </w:t>
      </w:r>
      <w:r w:rsidR="00B171D9">
        <w:t>praxi</w:t>
      </w:r>
      <w:r w:rsidR="002929AF">
        <w:t xml:space="preserve"> stále</w:t>
      </w:r>
      <w:r w:rsidR="00B171D9">
        <w:t xml:space="preserve"> </w:t>
      </w:r>
      <w:r w:rsidR="002929AF">
        <w:t xml:space="preserve">převážně </w:t>
      </w:r>
      <w:r w:rsidR="00B171D9">
        <w:t>využívají služeb velkých online platforem se souhlasem k personalizaci a sběru dat. Zpoplatněné verze služeb se tak v praxi staly luxusem, který volí jen velmi úzká skupina spotřebitelů.</w:t>
      </w:r>
      <w:r w:rsidR="00FD757B">
        <w:t xml:space="preserve"> Dalším regulatorním paradoxem nařízení DMA je stav, kdy povinné otevření globálních platforem k dokončení transakcí mimo ně může být problematické z hlediska uživatelské bezpečnosti a podvodů.</w:t>
      </w:r>
    </w:p>
    <w:p w14:paraId="35EC7931" w14:textId="366EA6BD" w:rsidR="00647A1B" w:rsidRPr="00647A1B" w:rsidRDefault="00647A1B" w:rsidP="00E550E4">
      <w:pPr>
        <w:jc w:val="both"/>
        <w:rPr>
          <w:b/>
          <w:bCs/>
        </w:rPr>
      </w:pPr>
      <w:r w:rsidRPr="00647A1B">
        <w:rPr>
          <w:b/>
          <w:bCs/>
        </w:rPr>
        <w:t>Doporučení</w:t>
      </w:r>
      <w:r>
        <w:rPr>
          <w:b/>
          <w:bCs/>
        </w:rPr>
        <w:t xml:space="preserve"> pro DMA s ohledem na výsledky studie</w:t>
      </w:r>
    </w:p>
    <w:p w14:paraId="70A860D9" w14:textId="1D16C65C" w:rsidR="00E5275F" w:rsidRDefault="005E3BC9" w:rsidP="00E550E4">
      <w:pPr>
        <w:jc w:val="both"/>
      </w:pPr>
      <w:r>
        <w:t xml:space="preserve">S ohledem na uvedené se autoři studie a skupina s nimi spolupracujících </w:t>
      </w:r>
      <w:proofErr w:type="spellStart"/>
      <w:r>
        <w:t>think</w:t>
      </w:r>
      <w:proofErr w:type="spellEnd"/>
      <w:r>
        <w:t xml:space="preserve">-tanků domnívají, že EU by měla </w:t>
      </w:r>
      <w:r w:rsidR="00435519" w:rsidRPr="00435519">
        <w:t>zvážit nahrazení aktu o digitálních trzích flexibilnějším vymáháním</w:t>
      </w:r>
      <w:r>
        <w:t xml:space="preserve"> pravidel hospodářské soutěže</w:t>
      </w:r>
      <w:r w:rsidR="00435519" w:rsidRPr="00435519">
        <w:t xml:space="preserve"> případ od případu, nebo</w:t>
      </w:r>
      <w:r>
        <w:t xml:space="preserve"> alespoň tento akt r</w:t>
      </w:r>
      <w:r w:rsidR="00435519" w:rsidRPr="00435519">
        <w:t xml:space="preserve">eformovat odstraněním </w:t>
      </w:r>
      <w:r w:rsidR="00E85E64">
        <w:t xml:space="preserve">konkrétních </w:t>
      </w:r>
      <w:r w:rsidR="00435519" w:rsidRPr="00435519">
        <w:t xml:space="preserve">povinností, které </w:t>
      </w:r>
      <w:r>
        <w:t>v reáln</w:t>
      </w:r>
      <w:r w:rsidR="00E85E64">
        <w:t>é</w:t>
      </w:r>
      <w:r>
        <w:t xml:space="preserve"> praxi ani </w:t>
      </w:r>
      <w:r w:rsidR="00435519" w:rsidRPr="00435519">
        <w:t xml:space="preserve">nezvyšují </w:t>
      </w:r>
      <w:r w:rsidR="00BF28AC">
        <w:t>komfort</w:t>
      </w:r>
      <w:r w:rsidR="00435519" w:rsidRPr="00435519">
        <w:t xml:space="preserve"> spotřebitelů ani ne</w:t>
      </w:r>
      <w:r>
        <w:t xml:space="preserve">přispívají ke </w:t>
      </w:r>
      <w:r w:rsidR="00435519" w:rsidRPr="00435519">
        <w:t>zlepš</w:t>
      </w:r>
      <w:r>
        <w:t>ení konkurenčního prostředí.</w:t>
      </w:r>
    </w:p>
    <w:sectPr w:rsidR="00E52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6FDC" w14:textId="77777777" w:rsidR="003D450B" w:rsidRDefault="003D450B" w:rsidP="003A12A6">
      <w:pPr>
        <w:spacing w:after="0" w:line="240" w:lineRule="auto"/>
      </w:pPr>
      <w:r>
        <w:separator/>
      </w:r>
    </w:p>
  </w:endnote>
  <w:endnote w:type="continuationSeparator" w:id="0">
    <w:p w14:paraId="44BE82FB" w14:textId="77777777" w:rsidR="003D450B" w:rsidRDefault="003D450B" w:rsidP="003A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0F8" w14:textId="77777777" w:rsidR="003D450B" w:rsidRDefault="003D450B" w:rsidP="003A12A6">
      <w:pPr>
        <w:spacing w:after="0" w:line="240" w:lineRule="auto"/>
      </w:pPr>
      <w:r>
        <w:separator/>
      </w:r>
    </w:p>
  </w:footnote>
  <w:footnote w:type="continuationSeparator" w:id="0">
    <w:p w14:paraId="68DD6B73" w14:textId="77777777" w:rsidR="003D450B" w:rsidRDefault="003D450B" w:rsidP="003A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5F"/>
    <w:rsid w:val="00045A37"/>
    <w:rsid w:val="000D5403"/>
    <w:rsid w:val="000E53FD"/>
    <w:rsid w:val="00150018"/>
    <w:rsid w:val="001A70B5"/>
    <w:rsid w:val="00251497"/>
    <w:rsid w:val="002929AF"/>
    <w:rsid w:val="003A12A6"/>
    <w:rsid w:val="003D450B"/>
    <w:rsid w:val="00411949"/>
    <w:rsid w:val="00435519"/>
    <w:rsid w:val="00465197"/>
    <w:rsid w:val="0052019C"/>
    <w:rsid w:val="00536BC1"/>
    <w:rsid w:val="005E3BC9"/>
    <w:rsid w:val="00607E21"/>
    <w:rsid w:val="006427F0"/>
    <w:rsid w:val="00647A1B"/>
    <w:rsid w:val="00702ABA"/>
    <w:rsid w:val="007A60D4"/>
    <w:rsid w:val="00875A6D"/>
    <w:rsid w:val="009253D1"/>
    <w:rsid w:val="00A14E00"/>
    <w:rsid w:val="00A805DF"/>
    <w:rsid w:val="00A85C96"/>
    <w:rsid w:val="00A979A9"/>
    <w:rsid w:val="00AB7018"/>
    <w:rsid w:val="00B171D9"/>
    <w:rsid w:val="00B62EDF"/>
    <w:rsid w:val="00BF28AC"/>
    <w:rsid w:val="00C02498"/>
    <w:rsid w:val="00CA1482"/>
    <w:rsid w:val="00CE7133"/>
    <w:rsid w:val="00D86D4F"/>
    <w:rsid w:val="00D9258A"/>
    <w:rsid w:val="00E5275F"/>
    <w:rsid w:val="00E550E4"/>
    <w:rsid w:val="00E85E64"/>
    <w:rsid w:val="00FD0C32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FF8F"/>
  <w15:chartTrackingRefBased/>
  <w15:docId w15:val="{BC5ADDC6-1CC7-4E28-8C84-A549E21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2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7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7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7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7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75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55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51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12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12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1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ip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eli/reg/2022/1925/oj/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ppp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757C-2AFF-4047-BE48-BC1B32D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Krystof Krulis</dc:creator>
  <cp:keywords/>
  <dc:description/>
  <cp:lastModifiedBy>Edita Pechalová</cp:lastModifiedBy>
  <cp:revision>3</cp:revision>
  <dcterms:created xsi:type="dcterms:W3CDTF">2025-11-13T16:12:00Z</dcterms:created>
  <dcterms:modified xsi:type="dcterms:W3CDTF">2025-11-13T16:12:00Z</dcterms:modified>
</cp:coreProperties>
</file>